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Ind w:w="0" w:type="dxa"/>
        <w:tblLook w:val="04A0" w:firstRow="1" w:lastRow="0" w:firstColumn="1" w:lastColumn="0" w:noHBand="0" w:noVBand="1"/>
      </w:tblPr>
      <w:tblGrid>
        <w:gridCol w:w="2315"/>
        <w:gridCol w:w="6757"/>
      </w:tblGrid>
      <w:tr w:rsidR="005B37DB" w14:paraId="1E992CAA" w14:textId="77777777" w:rsidTr="007C4FD4">
        <w:tc>
          <w:tcPr>
            <w:tcW w:w="1270" w:type="dxa"/>
          </w:tcPr>
          <w:p w14:paraId="464FAF8F" w14:textId="77777777" w:rsidR="005B37DB" w:rsidRPr="000601DB" w:rsidRDefault="005B37DB">
            <w:pPr>
              <w:rPr>
                <w:rFonts w:asciiTheme="majorHAnsi" w:hAnsiTheme="majorHAnsi" w:cstheme="majorHAnsi"/>
              </w:rPr>
            </w:pPr>
            <w:r w:rsidRPr="000601DB">
              <w:rPr>
                <w:rFonts w:asciiTheme="majorHAnsi" w:eastAsia="Times New Roman" w:hAnsiTheme="majorHAnsi" w:cstheme="majorHAnsi"/>
                <w:noProof/>
                <w:color w:val="6DBFA9"/>
                <w:sz w:val="28"/>
                <w:szCs w:val="28"/>
                <w:lang w:eastAsia="fr-FR"/>
              </w:rPr>
              <w:drawing>
                <wp:inline distT="0" distB="0" distL="0" distR="0" wp14:anchorId="12FC1F98" wp14:editId="38ECFFEF">
                  <wp:extent cx="1470074" cy="1129077"/>
                  <wp:effectExtent l="0" t="0" r="0" b="0"/>
                  <wp:docPr id="484203146" name="Image 2" descr="Une image contenant texte&#10;&#10;Description générée automatiquement">
                    <a:extLst xmlns:a="http://schemas.openxmlformats.org/drawingml/2006/main">
                      <a:ext uri="{FF2B5EF4-FFF2-40B4-BE49-F238E27FC236}">
                        <a16:creationId xmlns:a16="http://schemas.microsoft.com/office/drawing/2014/main" id="{40A9170C-CD1D-4FD0-B3A5-B079282D5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183" cy="1131465"/>
                          </a:xfrm>
                          <a:prstGeom prst="rect">
                            <a:avLst/>
                          </a:prstGeom>
                          <a:noFill/>
                          <a:ln>
                            <a:noFill/>
                          </a:ln>
                        </pic:spPr>
                      </pic:pic>
                    </a:graphicData>
                  </a:graphic>
                </wp:inline>
              </w:drawing>
            </w:r>
          </w:p>
        </w:tc>
        <w:tc>
          <w:tcPr>
            <w:tcW w:w="7750" w:type="dxa"/>
          </w:tcPr>
          <w:p w14:paraId="1D27E56C" w14:textId="2308F04A" w:rsidR="005B37DB" w:rsidRDefault="005B37DB" w:rsidP="00803587">
            <w:pPr>
              <w:jc w:val="right"/>
            </w:pPr>
            <w:r>
              <w:rPr>
                <w:noProof/>
              </w:rPr>
              <w:drawing>
                <wp:inline distT="0" distB="0" distL="0" distR="0" wp14:anchorId="7960B491" wp14:editId="6DA020CE">
                  <wp:extent cx="972243" cy="1024745"/>
                  <wp:effectExtent l="0" t="0" r="0" b="4445"/>
                  <wp:docPr id="1006613651" name="Image 1">
                    <a:extLst xmlns:a="http://schemas.openxmlformats.org/drawingml/2006/main">
                      <a:ext uri="{FF2B5EF4-FFF2-40B4-BE49-F238E27FC236}">
                        <a16:creationId xmlns:a16="http://schemas.microsoft.com/office/drawing/2014/main" id="{BC2F41D1-DFDE-464C-83E8-71D44779A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13651" name="Imag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2243" cy="1024745"/>
                          </a:xfrm>
                          <a:prstGeom prst="rect">
                            <a:avLst/>
                          </a:prstGeom>
                          <a:noFill/>
                          <a:ln>
                            <a:noFill/>
                          </a:ln>
                        </pic:spPr>
                      </pic:pic>
                    </a:graphicData>
                  </a:graphic>
                </wp:inline>
              </w:drawing>
            </w:r>
          </w:p>
        </w:tc>
      </w:tr>
      <w:tr w:rsidR="00374844" w:rsidRPr="00374844" w14:paraId="13F4225E" w14:textId="77777777" w:rsidTr="007C4FD4">
        <w:tc>
          <w:tcPr>
            <w:tcW w:w="10065" w:type="dxa"/>
            <w:gridSpan w:val="2"/>
          </w:tcPr>
          <w:p w14:paraId="043D20EF" w14:textId="77777777" w:rsidR="00803587" w:rsidRPr="00374844" w:rsidRDefault="00803587" w:rsidP="005B37DB">
            <w:pPr>
              <w:jc w:val="right"/>
              <w:rPr>
                <w:rFonts w:asciiTheme="majorHAnsi" w:eastAsia="Times New Roman" w:hAnsiTheme="majorHAnsi" w:cstheme="majorHAnsi"/>
                <w:b/>
                <w:bCs/>
                <w:color w:val="000000" w:themeColor="text1"/>
                <w:sz w:val="24"/>
                <w:szCs w:val="24"/>
                <w:lang w:eastAsia="fr-FR"/>
              </w:rPr>
            </w:pPr>
          </w:p>
          <w:p w14:paraId="05DDB233" w14:textId="4CDAE2D7" w:rsidR="005B37DB" w:rsidRPr="00374844" w:rsidRDefault="005B37DB" w:rsidP="005B37DB">
            <w:pPr>
              <w:jc w:val="right"/>
              <w:rPr>
                <w:rFonts w:asciiTheme="majorHAnsi" w:eastAsia="Times New Roman" w:hAnsiTheme="majorHAnsi" w:cstheme="majorHAnsi"/>
                <w:color w:val="000000" w:themeColor="text1"/>
                <w:sz w:val="24"/>
                <w:szCs w:val="24"/>
                <w:lang w:eastAsia="fr-FR"/>
              </w:rPr>
            </w:pPr>
            <w:r w:rsidRPr="00374844">
              <w:rPr>
                <w:rFonts w:asciiTheme="majorHAnsi" w:eastAsia="Times New Roman" w:hAnsiTheme="majorHAnsi" w:cstheme="majorHAnsi"/>
                <w:b/>
                <w:bCs/>
                <w:color w:val="000000" w:themeColor="text1"/>
                <w:sz w:val="24"/>
                <w:szCs w:val="24"/>
                <w:lang w:eastAsia="fr-FR"/>
              </w:rPr>
              <w:t>Communiqué de presse</w:t>
            </w:r>
          </w:p>
          <w:p w14:paraId="755333B8" w14:textId="52C6F7A0" w:rsidR="005B37DB" w:rsidRPr="00374844" w:rsidRDefault="005B37DB" w:rsidP="005B37DB">
            <w:pPr>
              <w:jc w:val="right"/>
              <w:rPr>
                <w:rFonts w:asciiTheme="majorHAnsi" w:hAnsiTheme="majorHAnsi" w:cstheme="majorHAnsi"/>
                <w:color w:val="000000" w:themeColor="text1"/>
              </w:rPr>
            </w:pPr>
            <w:r w:rsidRPr="00374844">
              <w:rPr>
                <w:rFonts w:asciiTheme="majorHAnsi" w:eastAsia="Times New Roman" w:hAnsiTheme="majorHAnsi" w:cstheme="majorHAnsi"/>
                <w:color w:val="000000" w:themeColor="text1"/>
                <w:lang w:eastAsia="fr-FR"/>
              </w:rPr>
              <w:t>Paris, le</w:t>
            </w:r>
            <w:r w:rsidR="00803587" w:rsidRPr="00374844">
              <w:rPr>
                <w:rFonts w:asciiTheme="majorHAnsi" w:eastAsia="Times New Roman" w:hAnsiTheme="majorHAnsi" w:cstheme="majorHAnsi"/>
                <w:color w:val="000000" w:themeColor="text1"/>
                <w:lang w:eastAsia="fr-FR"/>
              </w:rPr>
              <w:t xml:space="preserve"> </w:t>
            </w:r>
            <w:r w:rsidR="000A130E">
              <w:rPr>
                <w:rFonts w:asciiTheme="majorHAnsi" w:eastAsia="Times New Roman" w:hAnsiTheme="majorHAnsi" w:cstheme="majorHAnsi"/>
                <w:color w:val="000000" w:themeColor="text1"/>
                <w:lang w:eastAsia="fr-FR"/>
              </w:rPr>
              <w:t>7</w:t>
            </w:r>
            <w:r w:rsidR="000A130E" w:rsidRPr="00374844">
              <w:rPr>
                <w:rFonts w:asciiTheme="majorHAnsi" w:eastAsia="Times New Roman" w:hAnsiTheme="majorHAnsi" w:cstheme="majorHAnsi"/>
                <w:color w:val="000000" w:themeColor="text1"/>
                <w:lang w:eastAsia="fr-FR"/>
              </w:rPr>
              <w:t xml:space="preserve"> </w:t>
            </w:r>
            <w:r w:rsidRPr="00374844">
              <w:rPr>
                <w:rFonts w:asciiTheme="majorHAnsi" w:eastAsia="Times New Roman" w:hAnsiTheme="majorHAnsi" w:cstheme="majorHAnsi"/>
                <w:color w:val="000000" w:themeColor="text1"/>
                <w:lang w:eastAsia="fr-FR"/>
              </w:rPr>
              <w:t>novembre 202</w:t>
            </w:r>
            <w:r w:rsidR="00E675E6">
              <w:rPr>
                <w:rFonts w:asciiTheme="majorHAnsi" w:eastAsia="Times New Roman" w:hAnsiTheme="majorHAnsi" w:cstheme="majorHAnsi"/>
                <w:color w:val="000000" w:themeColor="text1"/>
                <w:lang w:eastAsia="fr-FR"/>
              </w:rPr>
              <w:t>5</w:t>
            </w:r>
          </w:p>
        </w:tc>
      </w:tr>
      <w:tr w:rsidR="005B37DB" w:rsidRPr="005C0265" w14:paraId="333985E7" w14:textId="77777777" w:rsidTr="007C4FD4">
        <w:tc>
          <w:tcPr>
            <w:tcW w:w="10065" w:type="dxa"/>
            <w:gridSpan w:val="2"/>
          </w:tcPr>
          <w:p w14:paraId="26BDC03F" w14:textId="77777777" w:rsidR="00434556" w:rsidRDefault="00434556" w:rsidP="00BA5038">
            <w:pPr>
              <w:jc w:val="center"/>
              <w:rPr>
                <w:rFonts w:asciiTheme="majorHAnsi" w:hAnsiTheme="majorHAnsi" w:cstheme="majorHAnsi"/>
                <w:kern w:val="0"/>
                <w:sz w:val="32"/>
                <w:szCs w:val="32"/>
              </w:rPr>
            </w:pPr>
          </w:p>
          <w:p w14:paraId="46932367" w14:textId="4848D0EA" w:rsidR="00BA5038" w:rsidRDefault="007E18D1" w:rsidP="00BA5038">
            <w:pPr>
              <w:jc w:val="center"/>
              <w:rPr>
                <w:rFonts w:asciiTheme="majorHAnsi" w:hAnsiTheme="majorHAnsi" w:cstheme="majorHAnsi"/>
                <w:kern w:val="0"/>
                <w:sz w:val="32"/>
                <w:szCs w:val="32"/>
              </w:rPr>
            </w:pPr>
            <w:r>
              <w:rPr>
                <w:rFonts w:asciiTheme="majorHAnsi" w:hAnsiTheme="majorHAnsi" w:cstheme="majorHAnsi"/>
                <w:kern w:val="0"/>
                <w:sz w:val="32"/>
                <w:szCs w:val="32"/>
              </w:rPr>
              <w:t xml:space="preserve">Panorama </w:t>
            </w:r>
            <w:r w:rsidR="00BA5038" w:rsidRPr="00BA5038">
              <w:rPr>
                <w:rFonts w:asciiTheme="majorHAnsi" w:hAnsiTheme="majorHAnsi" w:cstheme="majorHAnsi"/>
                <w:kern w:val="0"/>
                <w:sz w:val="32"/>
                <w:szCs w:val="32"/>
              </w:rPr>
              <w:t>Top 250 des éditeurs de logiciels français</w:t>
            </w:r>
            <w:r w:rsidR="00DF2A21">
              <w:rPr>
                <w:rFonts w:asciiTheme="majorHAnsi" w:hAnsiTheme="majorHAnsi" w:cstheme="majorHAnsi"/>
                <w:kern w:val="0"/>
                <w:sz w:val="32"/>
                <w:szCs w:val="32"/>
              </w:rPr>
              <w:t xml:space="preserve"> - 1</w:t>
            </w:r>
            <w:r w:rsidR="00930E88">
              <w:rPr>
                <w:rFonts w:asciiTheme="majorHAnsi" w:hAnsiTheme="majorHAnsi" w:cstheme="majorHAnsi"/>
                <w:kern w:val="0"/>
                <w:sz w:val="32"/>
                <w:szCs w:val="32"/>
              </w:rPr>
              <w:t>5</w:t>
            </w:r>
            <w:r w:rsidR="00DF2A21" w:rsidRPr="00DF6338">
              <w:rPr>
                <w:rFonts w:asciiTheme="majorHAnsi" w:hAnsiTheme="majorHAnsi" w:cstheme="majorHAnsi"/>
                <w:kern w:val="0"/>
                <w:sz w:val="32"/>
                <w:szCs w:val="32"/>
                <w:vertAlign w:val="superscript"/>
              </w:rPr>
              <w:t>ème</w:t>
            </w:r>
            <w:r w:rsidR="00DF2A21">
              <w:rPr>
                <w:rFonts w:asciiTheme="majorHAnsi" w:hAnsiTheme="majorHAnsi" w:cstheme="majorHAnsi"/>
                <w:kern w:val="0"/>
                <w:sz w:val="32"/>
                <w:szCs w:val="32"/>
              </w:rPr>
              <w:t xml:space="preserve"> édition</w:t>
            </w:r>
          </w:p>
          <w:p w14:paraId="7ADCD714" w14:textId="24A5AE6B" w:rsidR="00BF53CF" w:rsidRDefault="0093167A" w:rsidP="00BF53CF">
            <w:pPr>
              <w:jc w:val="center"/>
              <w:rPr>
                <w:rFonts w:asciiTheme="majorHAnsi" w:hAnsiTheme="majorHAnsi" w:cstheme="majorHAnsi"/>
                <w:b/>
                <w:bCs/>
                <w:kern w:val="0"/>
                <w:sz w:val="36"/>
                <w:szCs w:val="36"/>
              </w:rPr>
            </w:pPr>
            <w:r w:rsidRPr="0093167A">
              <w:rPr>
                <w:rFonts w:asciiTheme="majorHAnsi" w:hAnsiTheme="majorHAnsi" w:cstheme="majorHAnsi"/>
                <w:b/>
                <w:bCs/>
                <w:kern w:val="0"/>
                <w:sz w:val="36"/>
                <w:szCs w:val="36"/>
              </w:rPr>
              <w:t>L</w:t>
            </w:r>
            <w:r w:rsidR="006709D4">
              <w:rPr>
                <w:rFonts w:asciiTheme="majorHAnsi" w:hAnsiTheme="majorHAnsi" w:cstheme="majorHAnsi"/>
                <w:b/>
                <w:bCs/>
                <w:kern w:val="0"/>
                <w:sz w:val="36"/>
                <w:szCs w:val="36"/>
              </w:rPr>
              <w:t>’IA entre au cœur du modèle des</w:t>
            </w:r>
            <w:r w:rsidRPr="0093167A">
              <w:rPr>
                <w:rFonts w:asciiTheme="majorHAnsi" w:hAnsiTheme="majorHAnsi" w:cstheme="majorHAnsi"/>
                <w:b/>
                <w:bCs/>
                <w:kern w:val="0"/>
                <w:sz w:val="36"/>
                <w:szCs w:val="36"/>
              </w:rPr>
              <w:t xml:space="preserve"> éditeurs français</w:t>
            </w:r>
          </w:p>
          <w:p w14:paraId="0C8EDACD" w14:textId="77777777" w:rsidR="0093167A" w:rsidRDefault="0093167A" w:rsidP="00BF53CF">
            <w:pPr>
              <w:jc w:val="center"/>
              <w:rPr>
                <w:rFonts w:asciiTheme="majorHAnsi" w:hAnsiTheme="majorHAnsi" w:cstheme="majorHAnsi"/>
                <w:kern w:val="0"/>
                <w:sz w:val="21"/>
                <w:szCs w:val="21"/>
              </w:rPr>
            </w:pPr>
          </w:p>
          <w:p w14:paraId="44959D3B" w14:textId="6C012D38" w:rsidR="00C96D37" w:rsidRDefault="00453D39" w:rsidP="00146001">
            <w:pPr>
              <w:jc w:val="both"/>
              <w:rPr>
                <w:rFonts w:asciiTheme="majorHAnsi" w:hAnsiTheme="majorHAnsi" w:cstheme="majorHAnsi"/>
                <w:b/>
                <w:bCs/>
                <w:kern w:val="0"/>
                <w:sz w:val="21"/>
                <w:szCs w:val="21"/>
              </w:rPr>
            </w:pPr>
            <w:r w:rsidRPr="00453D39">
              <w:rPr>
                <w:rFonts w:asciiTheme="majorHAnsi" w:hAnsiTheme="majorHAnsi" w:cstheme="majorHAnsi"/>
                <w:b/>
                <w:bCs/>
                <w:kern w:val="0"/>
                <w:sz w:val="21"/>
                <w:szCs w:val="21"/>
              </w:rPr>
              <w:t xml:space="preserve">Pour la </w:t>
            </w:r>
            <w:r w:rsidR="00B73DF0">
              <w:rPr>
                <w:rFonts w:asciiTheme="majorHAnsi" w:hAnsiTheme="majorHAnsi" w:cstheme="majorHAnsi"/>
                <w:b/>
                <w:bCs/>
                <w:kern w:val="0"/>
                <w:sz w:val="21"/>
                <w:szCs w:val="21"/>
              </w:rPr>
              <w:t>15</w:t>
            </w:r>
            <w:r w:rsidR="00DD6B16" w:rsidRPr="00DD6B16">
              <w:rPr>
                <w:rFonts w:asciiTheme="majorHAnsi" w:hAnsiTheme="majorHAnsi" w:cstheme="majorHAnsi"/>
                <w:b/>
                <w:bCs/>
                <w:kern w:val="0"/>
                <w:sz w:val="21"/>
                <w:szCs w:val="21"/>
                <w:vertAlign w:val="superscript"/>
              </w:rPr>
              <w:t>ème</w:t>
            </w:r>
            <w:r w:rsidR="00E413EE">
              <w:rPr>
                <w:rFonts w:asciiTheme="majorHAnsi" w:hAnsiTheme="majorHAnsi" w:cstheme="majorHAnsi"/>
                <w:b/>
                <w:bCs/>
                <w:kern w:val="0"/>
                <w:sz w:val="21"/>
                <w:szCs w:val="21"/>
              </w:rPr>
              <w:t xml:space="preserve"> </w:t>
            </w:r>
            <w:r w:rsidRPr="00453D39">
              <w:rPr>
                <w:rFonts w:asciiTheme="majorHAnsi" w:hAnsiTheme="majorHAnsi" w:cstheme="majorHAnsi"/>
                <w:b/>
                <w:bCs/>
                <w:kern w:val="0"/>
                <w:sz w:val="21"/>
                <w:szCs w:val="21"/>
              </w:rPr>
              <w:t>année consécutive, Numeum et EY dévoilent les résultats du Top 250 des éditeurs de logiciels français, le panorama de référence du secteur.</w:t>
            </w:r>
            <w:r w:rsidR="008A1362">
              <w:rPr>
                <w:rFonts w:asciiTheme="majorHAnsi" w:hAnsiTheme="majorHAnsi" w:cstheme="majorHAnsi"/>
                <w:b/>
                <w:bCs/>
                <w:kern w:val="0"/>
                <w:sz w:val="21"/>
                <w:szCs w:val="21"/>
              </w:rPr>
              <w:t xml:space="preserve"> </w:t>
            </w:r>
            <w:r w:rsidRPr="00453D39">
              <w:rPr>
                <w:rFonts w:asciiTheme="majorHAnsi" w:hAnsiTheme="majorHAnsi" w:cstheme="majorHAnsi"/>
                <w:b/>
                <w:bCs/>
                <w:kern w:val="0"/>
                <w:sz w:val="21"/>
                <w:szCs w:val="21"/>
              </w:rPr>
              <w:t>Réalisée entre mai et septembre 202</w:t>
            </w:r>
            <w:r w:rsidR="00122B69">
              <w:rPr>
                <w:rFonts w:asciiTheme="majorHAnsi" w:hAnsiTheme="majorHAnsi" w:cstheme="majorHAnsi"/>
                <w:b/>
                <w:bCs/>
                <w:kern w:val="0"/>
                <w:sz w:val="21"/>
                <w:szCs w:val="21"/>
              </w:rPr>
              <w:t>5</w:t>
            </w:r>
            <w:r w:rsidRPr="00453D39">
              <w:rPr>
                <w:rFonts w:asciiTheme="majorHAnsi" w:hAnsiTheme="majorHAnsi" w:cstheme="majorHAnsi"/>
                <w:b/>
                <w:bCs/>
                <w:kern w:val="0"/>
                <w:sz w:val="21"/>
                <w:szCs w:val="21"/>
              </w:rPr>
              <w:t xml:space="preserve"> auprès de 284 entreprises, l’étude 2025 met en lumière un écosystème toujours solide</w:t>
            </w:r>
            <w:r w:rsidR="008123FE" w:rsidRPr="008123FE">
              <w:rPr>
                <w:rFonts w:asciiTheme="majorHAnsi" w:hAnsiTheme="majorHAnsi" w:cstheme="majorHAnsi"/>
                <w:b/>
                <w:bCs/>
                <w:kern w:val="0"/>
                <w:sz w:val="21"/>
                <w:szCs w:val="21"/>
              </w:rPr>
              <w:t>, malgré un léger ralentissement de la croissance globale du secteur. Des éditeurs portés par l’innovation et une adoption accélérée de l’intelligence artificielle, préparant la révolution de l’agentique.</w:t>
            </w:r>
          </w:p>
          <w:p w14:paraId="0CEE58ED" w14:textId="77777777" w:rsidR="008123FE" w:rsidRPr="008123FE" w:rsidRDefault="008123FE" w:rsidP="00146001">
            <w:pPr>
              <w:jc w:val="both"/>
              <w:rPr>
                <w:rFonts w:asciiTheme="majorHAnsi" w:hAnsiTheme="majorHAnsi" w:cstheme="majorHAnsi"/>
                <w:kern w:val="0"/>
                <w:sz w:val="21"/>
                <w:szCs w:val="21"/>
              </w:rPr>
            </w:pPr>
          </w:p>
          <w:p w14:paraId="06CC630E" w14:textId="12985B8C" w:rsidR="00FE3B1F" w:rsidRPr="000601DB" w:rsidRDefault="004D3CE8" w:rsidP="008123FE">
            <w:pPr>
              <w:jc w:val="center"/>
              <w:rPr>
                <w:rFonts w:asciiTheme="majorHAnsi" w:hAnsiTheme="majorHAnsi" w:cstheme="majorHAnsi"/>
                <w:color w:val="1F3864"/>
                <w:kern w:val="0"/>
                <w:sz w:val="21"/>
                <w:szCs w:val="21"/>
              </w:rPr>
            </w:pPr>
            <w:r>
              <w:rPr>
                <w:rFonts w:asciiTheme="majorHAnsi" w:hAnsiTheme="majorHAnsi" w:cstheme="majorHAnsi"/>
                <w:noProof/>
                <w:color w:val="1F3864"/>
                <w:kern w:val="0"/>
                <w:sz w:val="21"/>
                <w:szCs w:val="21"/>
              </w:rPr>
              <w:drawing>
                <wp:inline distT="0" distB="0" distL="0" distR="0" wp14:anchorId="3F51BA30" wp14:editId="649B30F2">
                  <wp:extent cx="4048689" cy="5262234"/>
                  <wp:effectExtent l="0" t="0" r="9525" b="0"/>
                  <wp:docPr id="19118010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2722" cy="5280473"/>
                          </a:xfrm>
                          <a:prstGeom prst="rect">
                            <a:avLst/>
                          </a:prstGeom>
                          <a:noFill/>
                        </pic:spPr>
                      </pic:pic>
                    </a:graphicData>
                  </a:graphic>
                </wp:inline>
              </w:drawing>
            </w:r>
          </w:p>
          <w:p w14:paraId="7D22AE53" w14:textId="77777777" w:rsidR="00F6121A" w:rsidRPr="009811AE" w:rsidRDefault="00F6121A" w:rsidP="0021019A">
            <w:pPr>
              <w:jc w:val="both"/>
              <w:rPr>
                <w:rFonts w:asciiTheme="majorHAnsi" w:hAnsiTheme="majorHAnsi" w:cstheme="majorHAnsi"/>
                <w:kern w:val="0"/>
                <w:sz w:val="21"/>
                <w:szCs w:val="21"/>
              </w:rPr>
            </w:pPr>
          </w:p>
          <w:p w14:paraId="4F268954" w14:textId="735239EB" w:rsidR="00AB5418" w:rsidRPr="00CD1147" w:rsidRDefault="007C4FD4" w:rsidP="007C4FD4">
            <w:pPr>
              <w:jc w:val="both"/>
              <w:rPr>
                <w:rFonts w:asciiTheme="majorHAnsi" w:hAnsiTheme="majorHAnsi" w:cstheme="majorHAnsi"/>
                <w:color w:val="000000" w:themeColor="text1"/>
                <w:kern w:val="0"/>
                <w:sz w:val="21"/>
                <w:szCs w:val="21"/>
              </w:rPr>
            </w:pPr>
            <w:r w:rsidRPr="00CD1147">
              <w:rPr>
                <w:rFonts w:asciiTheme="majorHAnsi" w:hAnsiTheme="majorHAnsi" w:cstheme="majorHAnsi"/>
                <w:b/>
                <w:bCs/>
                <w:color w:val="1F3864"/>
                <w:kern w:val="0"/>
                <w:sz w:val="21"/>
                <w:szCs w:val="21"/>
              </w:rPr>
              <w:t>Une croissance solide malgré les incertitudes</w:t>
            </w:r>
            <w:r w:rsidR="007E1A2F" w:rsidRPr="00CD1147">
              <w:rPr>
                <w:rFonts w:asciiTheme="majorHAnsi" w:hAnsiTheme="majorHAnsi" w:cstheme="majorHAnsi"/>
                <w:b/>
                <w:bCs/>
                <w:color w:val="1F3864"/>
                <w:kern w:val="0"/>
                <w:sz w:val="21"/>
                <w:szCs w:val="21"/>
              </w:rPr>
              <w:t> :</w:t>
            </w:r>
            <w:r w:rsidR="007E1A2F" w:rsidRPr="00CD1147">
              <w:rPr>
                <w:rFonts w:asciiTheme="majorHAnsi" w:hAnsiTheme="majorHAnsi" w:cstheme="majorHAnsi"/>
                <w:color w:val="1F3864"/>
                <w:kern w:val="0"/>
                <w:sz w:val="21"/>
                <w:szCs w:val="21"/>
              </w:rPr>
              <w:t xml:space="preserve"> </w:t>
            </w:r>
            <w:r w:rsidRPr="00CD1147">
              <w:rPr>
                <w:rFonts w:asciiTheme="majorHAnsi" w:hAnsiTheme="majorHAnsi" w:cstheme="majorHAnsi"/>
                <w:color w:val="000000" w:themeColor="text1"/>
                <w:kern w:val="0"/>
                <w:sz w:val="21"/>
                <w:szCs w:val="21"/>
              </w:rPr>
              <w:t xml:space="preserve">Dans un environnement économique incertain, les éditeurs français de logiciels affichent une progression </w:t>
            </w:r>
            <w:r w:rsidR="005B5B29">
              <w:rPr>
                <w:rFonts w:asciiTheme="majorHAnsi" w:hAnsiTheme="majorHAnsi" w:cstheme="majorHAnsi"/>
                <w:color w:val="000000" w:themeColor="text1"/>
                <w:kern w:val="0"/>
                <w:sz w:val="21"/>
                <w:szCs w:val="21"/>
              </w:rPr>
              <w:t>de leur</w:t>
            </w:r>
            <w:r w:rsidR="005B5B29" w:rsidRPr="00CD1147">
              <w:rPr>
                <w:rFonts w:asciiTheme="majorHAnsi" w:hAnsiTheme="majorHAnsi" w:cstheme="majorHAnsi"/>
                <w:color w:val="000000" w:themeColor="text1"/>
                <w:kern w:val="0"/>
                <w:sz w:val="21"/>
                <w:szCs w:val="21"/>
              </w:rPr>
              <w:t xml:space="preserve"> </w:t>
            </w:r>
            <w:r w:rsidRPr="00CD1147">
              <w:rPr>
                <w:rFonts w:asciiTheme="majorHAnsi" w:hAnsiTheme="majorHAnsi" w:cstheme="majorHAnsi"/>
                <w:color w:val="000000" w:themeColor="text1"/>
                <w:kern w:val="0"/>
                <w:sz w:val="21"/>
                <w:szCs w:val="21"/>
              </w:rPr>
              <w:t xml:space="preserve">chiffre d’affaires d’édition </w:t>
            </w:r>
            <w:r w:rsidR="00EF6C35">
              <w:rPr>
                <w:rFonts w:asciiTheme="majorHAnsi" w:hAnsiTheme="majorHAnsi" w:cstheme="majorHAnsi"/>
                <w:color w:val="000000" w:themeColor="text1"/>
                <w:kern w:val="0"/>
                <w:sz w:val="21"/>
                <w:szCs w:val="21"/>
              </w:rPr>
              <w:t xml:space="preserve">mondial </w:t>
            </w:r>
            <w:r w:rsidRPr="00CD1147">
              <w:rPr>
                <w:rFonts w:asciiTheme="majorHAnsi" w:hAnsiTheme="majorHAnsi" w:cstheme="majorHAnsi"/>
                <w:color w:val="000000" w:themeColor="text1"/>
                <w:kern w:val="0"/>
                <w:sz w:val="21"/>
                <w:szCs w:val="21"/>
              </w:rPr>
              <w:t>à 23,1 milliards d’euros en 2024, traduisant une dynamique soutenue</w:t>
            </w:r>
            <w:r w:rsidR="002A3E87">
              <w:rPr>
                <w:rFonts w:asciiTheme="majorHAnsi" w:hAnsiTheme="majorHAnsi" w:cstheme="majorHAnsi"/>
                <w:color w:val="000000" w:themeColor="text1"/>
                <w:kern w:val="0"/>
                <w:sz w:val="21"/>
                <w:szCs w:val="21"/>
              </w:rPr>
              <w:t xml:space="preserve">. </w:t>
            </w:r>
            <w:r w:rsidRPr="00CD1147">
              <w:rPr>
                <w:rFonts w:asciiTheme="majorHAnsi" w:hAnsiTheme="majorHAnsi" w:cstheme="majorHAnsi"/>
                <w:color w:val="000000" w:themeColor="text1"/>
                <w:kern w:val="0"/>
                <w:sz w:val="21"/>
                <w:szCs w:val="21"/>
              </w:rPr>
              <w:t>Les éditeurs de plus de 100 M€ hors Top 3 (Dassault Systèmes, Ubisoft et Criteo) enregistrent une hausse de 14 %</w:t>
            </w:r>
            <w:r w:rsidR="00BF162A">
              <w:rPr>
                <w:rFonts w:asciiTheme="majorHAnsi" w:hAnsiTheme="majorHAnsi" w:cstheme="majorHAnsi"/>
                <w:color w:val="000000" w:themeColor="text1"/>
                <w:kern w:val="0"/>
                <w:sz w:val="21"/>
                <w:szCs w:val="21"/>
              </w:rPr>
              <w:t xml:space="preserve"> de leur activité</w:t>
            </w:r>
            <w:r w:rsidR="00452A0F">
              <w:rPr>
                <w:rFonts w:asciiTheme="majorHAnsi" w:hAnsiTheme="majorHAnsi" w:cstheme="majorHAnsi"/>
                <w:color w:val="000000" w:themeColor="text1"/>
                <w:kern w:val="0"/>
                <w:sz w:val="21"/>
                <w:szCs w:val="21"/>
              </w:rPr>
              <w:t xml:space="preserve"> édition</w:t>
            </w:r>
            <w:r w:rsidR="00F00C11">
              <w:rPr>
                <w:rFonts w:asciiTheme="majorHAnsi" w:hAnsiTheme="majorHAnsi" w:cstheme="majorHAnsi"/>
                <w:color w:val="000000" w:themeColor="text1"/>
                <w:kern w:val="0"/>
                <w:sz w:val="21"/>
                <w:szCs w:val="21"/>
              </w:rPr>
              <w:t xml:space="preserve">, les autres catégories de </w:t>
            </w:r>
            <w:r w:rsidR="00BF162A">
              <w:rPr>
                <w:rFonts w:asciiTheme="majorHAnsi" w:hAnsiTheme="majorHAnsi" w:cstheme="majorHAnsi"/>
                <w:color w:val="000000" w:themeColor="text1"/>
                <w:kern w:val="0"/>
                <w:sz w:val="21"/>
                <w:szCs w:val="21"/>
              </w:rPr>
              <w:t xml:space="preserve">moins de 100M€ </w:t>
            </w:r>
            <w:r w:rsidR="00452A0F">
              <w:rPr>
                <w:rFonts w:asciiTheme="majorHAnsi" w:hAnsiTheme="majorHAnsi" w:cstheme="majorHAnsi"/>
                <w:color w:val="000000" w:themeColor="text1"/>
                <w:kern w:val="0"/>
                <w:sz w:val="21"/>
                <w:szCs w:val="21"/>
              </w:rPr>
              <w:t xml:space="preserve">affichant </w:t>
            </w:r>
            <w:r w:rsidR="00ED6178">
              <w:rPr>
                <w:rFonts w:asciiTheme="majorHAnsi" w:hAnsiTheme="majorHAnsi" w:cstheme="majorHAnsi"/>
                <w:color w:val="000000" w:themeColor="text1"/>
                <w:kern w:val="0"/>
                <w:sz w:val="21"/>
                <w:szCs w:val="21"/>
              </w:rPr>
              <w:t>également</w:t>
            </w:r>
            <w:r w:rsidR="00452A0F">
              <w:rPr>
                <w:rFonts w:asciiTheme="majorHAnsi" w:hAnsiTheme="majorHAnsi" w:cstheme="majorHAnsi"/>
                <w:color w:val="000000" w:themeColor="text1"/>
                <w:kern w:val="0"/>
                <w:sz w:val="21"/>
                <w:szCs w:val="21"/>
              </w:rPr>
              <w:t xml:space="preserve"> </w:t>
            </w:r>
            <w:r w:rsidR="00231BDB">
              <w:rPr>
                <w:rFonts w:asciiTheme="majorHAnsi" w:hAnsiTheme="majorHAnsi" w:cstheme="majorHAnsi"/>
                <w:color w:val="000000" w:themeColor="text1"/>
                <w:kern w:val="0"/>
                <w:sz w:val="21"/>
                <w:szCs w:val="21"/>
              </w:rPr>
              <w:t>des progressions à deux chiffres de leurs chiffres d’affaires</w:t>
            </w:r>
            <w:r w:rsidR="00ED6178">
              <w:rPr>
                <w:rFonts w:asciiTheme="majorHAnsi" w:hAnsiTheme="majorHAnsi" w:cstheme="majorHAnsi"/>
                <w:color w:val="000000" w:themeColor="text1"/>
                <w:kern w:val="0"/>
                <w:sz w:val="21"/>
                <w:szCs w:val="21"/>
              </w:rPr>
              <w:t xml:space="preserve">. </w:t>
            </w:r>
            <w:r w:rsidRPr="00CD1147">
              <w:rPr>
                <w:rFonts w:asciiTheme="majorHAnsi" w:hAnsiTheme="majorHAnsi" w:cstheme="majorHAnsi"/>
                <w:color w:val="000000" w:themeColor="text1"/>
                <w:kern w:val="0"/>
                <w:sz w:val="21"/>
                <w:szCs w:val="21"/>
              </w:rPr>
              <w:t>La rentabilité demeure élevée : 79 % des éditeurs ont réalisé un résultat d’exploitation positif, confirmant la</w:t>
            </w:r>
            <w:r w:rsidR="00132CF2">
              <w:rPr>
                <w:rFonts w:asciiTheme="majorHAnsi" w:hAnsiTheme="majorHAnsi" w:cstheme="majorHAnsi"/>
                <w:color w:val="000000" w:themeColor="text1"/>
                <w:kern w:val="0"/>
                <w:sz w:val="21"/>
                <w:szCs w:val="21"/>
              </w:rPr>
              <w:t xml:space="preserve"> </w:t>
            </w:r>
            <w:r w:rsidRPr="00CD1147">
              <w:rPr>
                <w:rFonts w:asciiTheme="majorHAnsi" w:hAnsiTheme="majorHAnsi" w:cstheme="majorHAnsi"/>
                <w:color w:val="000000" w:themeColor="text1"/>
                <w:kern w:val="0"/>
                <w:sz w:val="21"/>
                <w:szCs w:val="21"/>
              </w:rPr>
              <w:t>solidité du modèle SaaS et l’efficacité structurelle du secteur.</w:t>
            </w:r>
          </w:p>
          <w:p w14:paraId="79AC5BC4" w14:textId="77777777" w:rsidR="007C4FD4" w:rsidRDefault="007C4FD4" w:rsidP="007C4FD4">
            <w:pPr>
              <w:jc w:val="both"/>
            </w:pPr>
          </w:p>
          <w:p w14:paraId="3DAE80C5" w14:textId="5777F9C2" w:rsidR="00DA78BB" w:rsidRDefault="00CD1147" w:rsidP="00CD1147">
            <w:pPr>
              <w:jc w:val="both"/>
              <w:rPr>
                <w:rFonts w:asciiTheme="majorHAnsi" w:hAnsiTheme="majorHAnsi" w:cstheme="majorHAnsi"/>
                <w:color w:val="000000" w:themeColor="text1"/>
                <w:kern w:val="0"/>
                <w:sz w:val="21"/>
                <w:szCs w:val="21"/>
              </w:rPr>
            </w:pPr>
            <w:r w:rsidRPr="00CD1147">
              <w:rPr>
                <w:rFonts w:asciiTheme="majorHAnsi" w:hAnsiTheme="majorHAnsi" w:cstheme="majorHAnsi"/>
                <w:b/>
                <w:bCs/>
                <w:color w:val="1F3864"/>
                <w:kern w:val="0"/>
                <w:sz w:val="21"/>
                <w:szCs w:val="21"/>
              </w:rPr>
              <w:t>L’intelligence artificielle au cœur du logiciel français</w:t>
            </w:r>
            <w:r w:rsidR="008C5B35">
              <w:rPr>
                <w:rFonts w:asciiTheme="majorHAnsi" w:hAnsiTheme="majorHAnsi" w:cstheme="majorHAnsi"/>
                <w:b/>
                <w:bCs/>
                <w:color w:val="1F3864"/>
                <w:kern w:val="0"/>
                <w:sz w:val="21"/>
                <w:szCs w:val="21"/>
              </w:rPr>
              <w:t> :</w:t>
            </w:r>
            <w:r>
              <w:rPr>
                <w:rFonts w:asciiTheme="majorHAnsi" w:hAnsiTheme="majorHAnsi" w:cstheme="majorHAnsi"/>
                <w:b/>
                <w:bCs/>
                <w:color w:val="1F3864"/>
                <w:kern w:val="0"/>
                <w:sz w:val="21"/>
                <w:szCs w:val="21"/>
              </w:rPr>
              <w:t xml:space="preserve"> </w:t>
            </w:r>
            <w:r w:rsidRPr="00CD1147">
              <w:rPr>
                <w:rFonts w:asciiTheme="majorHAnsi" w:hAnsiTheme="majorHAnsi" w:cstheme="majorHAnsi"/>
                <w:color w:val="000000" w:themeColor="text1"/>
                <w:kern w:val="0"/>
                <w:sz w:val="21"/>
                <w:szCs w:val="21"/>
              </w:rPr>
              <w:t>83 % des éditeurs placent désormais l’IA parmi leurs trois priorités technologiques (+ 9 points vs 2023) et 61 % ont déjà intégré des fonctionnalités d’IA générative dans leurs offres</w:t>
            </w:r>
            <w:r w:rsidR="000249DE">
              <w:rPr>
                <w:rFonts w:asciiTheme="majorHAnsi" w:hAnsiTheme="majorHAnsi" w:cstheme="majorHAnsi"/>
                <w:color w:val="000000" w:themeColor="text1"/>
                <w:kern w:val="0"/>
                <w:sz w:val="21"/>
                <w:szCs w:val="21"/>
              </w:rPr>
              <w:t xml:space="preserve"> (+21 points vs. 2023)</w:t>
            </w:r>
            <w:r w:rsidRPr="00CD1147">
              <w:rPr>
                <w:rFonts w:asciiTheme="majorHAnsi" w:hAnsiTheme="majorHAnsi" w:cstheme="majorHAnsi"/>
                <w:color w:val="000000" w:themeColor="text1"/>
                <w:kern w:val="0"/>
                <w:sz w:val="21"/>
                <w:szCs w:val="21"/>
              </w:rPr>
              <w:t>, tandis que 31 % prévoient de le faire dans les deux prochaines années.</w:t>
            </w:r>
            <w:r w:rsidR="00AD65BF">
              <w:rPr>
                <w:rFonts w:asciiTheme="majorHAnsi" w:hAnsiTheme="majorHAnsi" w:cstheme="majorHAnsi"/>
                <w:color w:val="000000" w:themeColor="text1"/>
                <w:kern w:val="0"/>
                <w:sz w:val="21"/>
                <w:szCs w:val="21"/>
              </w:rPr>
              <w:t xml:space="preserve"> </w:t>
            </w:r>
            <w:r w:rsidRPr="00CD1147">
              <w:rPr>
                <w:rFonts w:asciiTheme="majorHAnsi" w:hAnsiTheme="majorHAnsi" w:cstheme="majorHAnsi"/>
                <w:color w:val="000000" w:themeColor="text1"/>
                <w:kern w:val="0"/>
                <w:sz w:val="21"/>
                <w:szCs w:val="21"/>
              </w:rPr>
              <w:t>92</w:t>
            </w:r>
            <w:r w:rsidR="00E660D7">
              <w:rPr>
                <w:rFonts w:asciiTheme="majorHAnsi" w:hAnsiTheme="majorHAnsi" w:cstheme="majorHAnsi"/>
                <w:color w:val="000000" w:themeColor="text1"/>
                <w:kern w:val="0"/>
                <w:sz w:val="21"/>
                <w:szCs w:val="21"/>
              </w:rPr>
              <w:t> </w:t>
            </w:r>
            <w:r w:rsidRPr="00CD1147">
              <w:rPr>
                <w:rFonts w:asciiTheme="majorHAnsi" w:hAnsiTheme="majorHAnsi" w:cstheme="majorHAnsi"/>
                <w:color w:val="000000" w:themeColor="text1"/>
                <w:kern w:val="0"/>
                <w:sz w:val="21"/>
                <w:szCs w:val="21"/>
              </w:rPr>
              <w:t>% ont mis à disposition de leurs équipes au moins une solution d’IA, notamment pour la R&amp;D et le marketing, et 61 % observent déjà des gains de productivité.</w:t>
            </w:r>
            <w:r w:rsidR="00AD65BF">
              <w:rPr>
                <w:rFonts w:asciiTheme="majorHAnsi" w:hAnsiTheme="majorHAnsi" w:cstheme="majorHAnsi"/>
                <w:color w:val="000000" w:themeColor="text1"/>
                <w:kern w:val="0"/>
                <w:sz w:val="21"/>
                <w:szCs w:val="21"/>
              </w:rPr>
              <w:t xml:space="preserve"> </w:t>
            </w:r>
            <w:r w:rsidR="00F16031">
              <w:rPr>
                <w:rFonts w:asciiTheme="majorHAnsi" w:hAnsiTheme="majorHAnsi" w:cstheme="majorHAnsi"/>
                <w:color w:val="000000" w:themeColor="text1"/>
                <w:kern w:val="0"/>
                <w:sz w:val="21"/>
                <w:szCs w:val="21"/>
              </w:rPr>
              <w:t>S</w:t>
            </w:r>
            <w:r w:rsidRPr="00CD1147">
              <w:rPr>
                <w:rFonts w:asciiTheme="majorHAnsi" w:hAnsiTheme="majorHAnsi" w:cstheme="majorHAnsi"/>
                <w:color w:val="000000" w:themeColor="text1"/>
                <w:kern w:val="0"/>
                <w:sz w:val="21"/>
                <w:szCs w:val="21"/>
              </w:rPr>
              <w:t>euls 24 % des éditeurs utilisent leurs propres modèles d’IA, la forte dépendance aux solutions tierces soulign</w:t>
            </w:r>
            <w:r w:rsidR="00FF02C3">
              <w:rPr>
                <w:rFonts w:asciiTheme="majorHAnsi" w:hAnsiTheme="majorHAnsi" w:cstheme="majorHAnsi"/>
                <w:color w:val="000000" w:themeColor="text1"/>
                <w:kern w:val="0"/>
                <w:sz w:val="21"/>
                <w:szCs w:val="21"/>
              </w:rPr>
              <w:t>ant</w:t>
            </w:r>
            <w:r w:rsidRPr="00CD1147">
              <w:rPr>
                <w:rFonts w:asciiTheme="majorHAnsi" w:hAnsiTheme="majorHAnsi" w:cstheme="majorHAnsi"/>
                <w:color w:val="000000" w:themeColor="text1"/>
                <w:kern w:val="0"/>
                <w:sz w:val="21"/>
                <w:szCs w:val="21"/>
              </w:rPr>
              <w:t xml:space="preserve"> les enjeux de souveraineté et de gouvernance des données.</w:t>
            </w:r>
          </w:p>
          <w:p w14:paraId="501EF4D8" w14:textId="77777777" w:rsidR="00DD1424" w:rsidRDefault="00DD1424" w:rsidP="00CD1147">
            <w:pPr>
              <w:jc w:val="both"/>
              <w:rPr>
                <w:rFonts w:asciiTheme="majorHAnsi" w:hAnsiTheme="majorHAnsi" w:cstheme="majorHAnsi"/>
                <w:color w:val="000000" w:themeColor="text1"/>
                <w:kern w:val="0"/>
                <w:sz w:val="21"/>
                <w:szCs w:val="21"/>
              </w:rPr>
            </w:pPr>
          </w:p>
          <w:p w14:paraId="3EBC823A" w14:textId="03E175A3" w:rsidR="00CC3C77" w:rsidRPr="00DD1424" w:rsidRDefault="00DD1424" w:rsidP="00DD1424">
            <w:pPr>
              <w:jc w:val="both"/>
              <w:rPr>
                <w:rFonts w:asciiTheme="majorHAnsi" w:hAnsiTheme="majorHAnsi" w:cstheme="majorHAnsi"/>
                <w:color w:val="000000" w:themeColor="text1"/>
                <w:kern w:val="0"/>
                <w:sz w:val="21"/>
                <w:szCs w:val="21"/>
              </w:rPr>
            </w:pPr>
            <w:r w:rsidRPr="00DD1424">
              <w:rPr>
                <w:rFonts w:asciiTheme="majorHAnsi" w:hAnsiTheme="majorHAnsi" w:cstheme="majorHAnsi"/>
                <w:b/>
                <w:bCs/>
                <w:color w:val="1F3864"/>
                <w:kern w:val="0"/>
                <w:sz w:val="21"/>
                <w:szCs w:val="21"/>
              </w:rPr>
              <w:t>Des effectifs en hausse, mais une dynamique d’embauche qui s’infléchit :</w:t>
            </w:r>
            <w:r w:rsidRPr="00DD1424">
              <w:rPr>
                <w:rFonts w:asciiTheme="majorHAnsi" w:hAnsiTheme="majorHAnsi" w:cstheme="majorHAnsi"/>
                <w:color w:val="1F3864"/>
                <w:kern w:val="0"/>
                <w:sz w:val="21"/>
                <w:szCs w:val="21"/>
              </w:rPr>
              <w:t xml:space="preserve"> </w:t>
            </w:r>
            <w:r w:rsidRPr="00DD1424">
              <w:rPr>
                <w:rFonts w:asciiTheme="majorHAnsi" w:hAnsiTheme="majorHAnsi" w:cstheme="majorHAnsi"/>
                <w:color w:val="000000" w:themeColor="text1"/>
                <w:kern w:val="0"/>
                <w:sz w:val="21"/>
                <w:szCs w:val="21"/>
              </w:rPr>
              <w:t xml:space="preserve">les effectifs mondiaux des éditeurs pure </w:t>
            </w:r>
            <w:proofErr w:type="spellStart"/>
            <w:r w:rsidRPr="00DD1424">
              <w:rPr>
                <w:rFonts w:asciiTheme="majorHAnsi" w:hAnsiTheme="majorHAnsi" w:cstheme="majorHAnsi"/>
                <w:color w:val="000000" w:themeColor="text1"/>
                <w:kern w:val="0"/>
                <w:sz w:val="21"/>
                <w:szCs w:val="21"/>
              </w:rPr>
              <w:t>players</w:t>
            </w:r>
            <w:proofErr w:type="spellEnd"/>
            <w:r w:rsidRPr="00DD1424">
              <w:rPr>
                <w:rFonts w:asciiTheme="majorHAnsi" w:hAnsiTheme="majorHAnsi" w:cstheme="majorHAnsi"/>
                <w:color w:val="000000" w:themeColor="text1"/>
                <w:kern w:val="0"/>
                <w:sz w:val="21"/>
                <w:szCs w:val="21"/>
              </w:rPr>
              <w:t xml:space="preserve"> français ont progressé de 8,1 % en 2024.</w:t>
            </w:r>
            <w:r w:rsidR="00AD65BF">
              <w:rPr>
                <w:rFonts w:asciiTheme="majorHAnsi" w:hAnsiTheme="majorHAnsi" w:cstheme="majorHAnsi"/>
                <w:color w:val="000000" w:themeColor="text1"/>
                <w:kern w:val="0"/>
                <w:sz w:val="21"/>
                <w:szCs w:val="21"/>
              </w:rPr>
              <w:t xml:space="preserve"> </w:t>
            </w:r>
            <w:r w:rsidRPr="00DD1424">
              <w:rPr>
                <w:rFonts w:asciiTheme="majorHAnsi" w:hAnsiTheme="majorHAnsi" w:cstheme="majorHAnsi"/>
                <w:color w:val="000000" w:themeColor="text1"/>
                <w:kern w:val="0"/>
                <w:sz w:val="21"/>
                <w:szCs w:val="21"/>
              </w:rPr>
              <w:t>Cependant, les prévisions pour 2025 traduisent une certaine prudence : 62 % des éditeurs prévoient d’augmenter leurs effectifs (-10 points vs 2023).</w:t>
            </w:r>
            <w:r w:rsidR="00AD65BF">
              <w:rPr>
                <w:rFonts w:asciiTheme="majorHAnsi" w:hAnsiTheme="majorHAnsi" w:cstheme="majorHAnsi"/>
                <w:color w:val="000000" w:themeColor="text1"/>
                <w:kern w:val="0"/>
                <w:sz w:val="21"/>
                <w:szCs w:val="21"/>
              </w:rPr>
              <w:t xml:space="preserve"> </w:t>
            </w:r>
            <w:r w:rsidRPr="00DD1424">
              <w:rPr>
                <w:rFonts w:asciiTheme="majorHAnsi" w:hAnsiTheme="majorHAnsi" w:cstheme="majorHAnsi"/>
                <w:color w:val="000000" w:themeColor="text1"/>
                <w:kern w:val="0"/>
                <w:sz w:val="21"/>
                <w:szCs w:val="21"/>
              </w:rPr>
              <w:t>Le secteur continue de se mobiliser pour la mixité : les femmes représentent 34 % des effectifs et 31 % des comités de direction, des chiffres stables mais encore insuffisants.</w:t>
            </w:r>
            <w:r w:rsidR="00AD65BF">
              <w:rPr>
                <w:rFonts w:asciiTheme="majorHAnsi" w:hAnsiTheme="majorHAnsi" w:cstheme="majorHAnsi"/>
                <w:color w:val="000000" w:themeColor="text1"/>
                <w:kern w:val="0"/>
                <w:sz w:val="21"/>
                <w:szCs w:val="21"/>
              </w:rPr>
              <w:t xml:space="preserve"> </w:t>
            </w:r>
            <w:r w:rsidR="00CC3C77" w:rsidRPr="00CC3C77">
              <w:rPr>
                <w:rFonts w:asciiTheme="majorHAnsi" w:hAnsiTheme="majorHAnsi" w:cstheme="majorHAnsi"/>
                <w:color w:val="000000" w:themeColor="text1"/>
                <w:kern w:val="0"/>
                <w:sz w:val="21"/>
                <w:szCs w:val="21"/>
              </w:rPr>
              <w:t xml:space="preserve">55 % des éditeurs déclarent rencontrer des difficultés de recrutement. </w:t>
            </w:r>
          </w:p>
          <w:p w14:paraId="522CAEE3" w14:textId="77777777" w:rsidR="00944A16" w:rsidRDefault="00944A16" w:rsidP="009258DC">
            <w:pPr>
              <w:jc w:val="both"/>
              <w:rPr>
                <w:rFonts w:asciiTheme="majorHAnsi" w:hAnsiTheme="majorHAnsi" w:cstheme="majorHAnsi"/>
                <w:kern w:val="0"/>
                <w:sz w:val="21"/>
                <w:szCs w:val="21"/>
              </w:rPr>
            </w:pPr>
          </w:p>
          <w:p w14:paraId="3B269D26" w14:textId="0F9FE265" w:rsidR="00944A16" w:rsidRPr="00944A16" w:rsidRDefault="00944A16" w:rsidP="00944A16">
            <w:pPr>
              <w:jc w:val="both"/>
              <w:rPr>
                <w:rFonts w:asciiTheme="majorHAnsi" w:hAnsiTheme="majorHAnsi" w:cstheme="majorHAnsi"/>
                <w:b/>
                <w:bCs/>
                <w:kern w:val="0"/>
                <w:sz w:val="21"/>
                <w:szCs w:val="21"/>
              </w:rPr>
            </w:pPr>
            <w:r w:rsidRPr="00655B32">
              <w:rPr>
                <w:rFonts w:asciiTheme="majorHAnsi" w:hAnsiTheme="majorHAnsi" w:cstheme="majorHAnsi"/>
                <w:b/>
                <w:bCs/>
                <w:color w:val="002060"/>
                <w:kern w:val="0"/>
                <w:sz w:val="21"/>
                <w:szCs w:val="21"/>
              </w:rPr>
              <w:t xml:space="preserve">La RSE se consolide et devient un pilier durable : </w:t>
            </w:r>
            <w:r w:rsidRPr="00944A16">
              <w:rPr>
                <w:rFonts w:asciiTheme="majorHAnsi" w:hAnsiTheme="majorHAnsi" w:cstheme="majorHAnsi"/>
                <w:kern w:val="0"/>
                <w:sz w:val="21"/>
                <w:szCs w:val="21"/>
              </w:rPr>
              <w:t>la responsabilité sociétale des entreprises (RSE) confirme sa maturité : 77 % des éditeurs ont initié une démarche structurée, 79 % la considèrent comme une priorité et 58 % réalisent désormais leur bilan carbone.</w:t>
            </w:r>
            <w:r w:rsidR="00745C9C">
              <w:rPr>
                <w:rFonts w:asciiTheme="majorHAnsi" w:hAnsiTheme="majorHAnsi" w:cstheme="majorHAnsi"/>
                <w:kern w:val="0"/>
                <w:sz w:val="21"/>
                <w:szCs w:val="21"/>
              </w:rPr>
              <w:t xml:space="preserve"> </w:t>
            </w:r>
            <w:r w:rsidRPr="00944A16">
              <w:rPr>
                <w:rFonts w:asciiTheme="majorHAnsi" w:hAnsiTheme="majorHAnsi" w:cstheme="majorHAnsi"/>
                <w:kern w:val="0"/>
                <w:sz w:val="21"/>
                <w:szCs w:val="21"/>
              </w:rPr>
              <w:t>43 % sont engagés dans une labellisation (+10 points vs 2023).</w:t>
            </w:r>
            <w:r w:rsidR="00745C9C">
              <w:rPr>
                <w:rFonts w:asciiTheme="majorHAnsi" w:hAnsiTheme="majorHAnsi" w:cstheme="majorHAnsi"/>
                <w:kern w:val="0"/>
                <w:sz w:val="21"/>
                <w:szCs w:val="21"/>
              </w:rPr>
              <w:t xml:space="preserve"> </w:t>
            </w:r>
            <w:r w:rsidRPr="00944A16">
              <w:rPr>
                <w:rFonts w:asciiTheme="majorHAnsi" w:hAnsiTheme="majorHAnsi" w:cstheme="majorHAnsi"/>
                <w:kern w:val="0"/>
                <w:sz w:val="21"/>
                <w:szCs w:val="21"/>
              </w:rPr>
              <w:t>Cette stabilisation des indicateurs témoigne d’un ancrage durable des enjeux sociaux et environnementaux au sein de la stratégie des éditeurs.</w:t>
            </w:r>
          </w:p>
          <w:p w14:paraId="44897B67" w14:textId="77777777" w:rsidR="00944A16" w:rsidRDefault="00944A16" w:rsidP="009258DC">
            <w:pPr>
              <w:jc w:val="both"/>
              <w:rPr>
                <w:rFonts w:asciiTheme="majorHAnsi" w:hAnsiTheme="majorHAnsi" w:cstheme="majorHAnsi"/>
                <w:kern w:val="0"/>
                <w:sz w:val="21"/>
                <w:szCs w:val="21"/>
              </w:rPr>
            </w:pPr>
          </w:p>
          <w:p w14:paraId="16809248" w14:textId="62BC758C" w:rsidR="007C296C" w:rsidRDefault="00DD1424" w:rsidP="00DD1424">
            <w:pPr>
              <w:jc w:val="both"/>
              <w:rPr>
                <w:rFonts w:asciiTheme="majorHAnsi" w:hAnsiTheme="majorHAnsi" w:cstheme="majorHAnsi"/>
                <w:kern w:val="0"/>
                <w:sz w:val="21"/>
                <w:szCs w:val="21"/>
              </w:rPr>
            </w:pPr>
            <w:r w:rsidRPr="00DD1424">
              <w:rPr>
                <w:rFonts w:asciiTheme="majorHAnsi" w:hAnsiTheme="majorHAnsi" w:cstheme="majorHAnsi"/>
                <w:b/>
                <w:bCs/>
                <w:color w:val="1F3864"/>
                <w:kern w:val="0"/>
                <w:sz w:val="21"/>
                <w:szCs w:val="21"/>
              </w:rPr>
              <w:t>L’international et la croissance externe, deux leviers stables :</w:t>
            </w:r>
            <w:r w:rsidRPr="00DD1424">
              <w:rPr>
                <w:rFonts w:asciiTheme="majorHAnsi" w:hAnsiTheme="majorHAnsi" w:cstheme="majorHAnsi"/>
                <w:color w:val="1F3864"/>
                <w:kern w:val="0"/>
                <w:sz w:val="21"/>
                <w:szCs w:val="21"/>
              </w:rPr>
              <w:t xml:space="preserve"> </w:t>
            </w:r>
            <w:r>
              <w:rPr>
                <w:rFonts w:asciiTheme="majorHAnsi" w:hAnsiTheme="majorHAnsi" w:cstheme="majorHAnsi"/>
                <w:kern w:val="0"/>
                <w:sz w:val="21"/>
                <w:szCs w:val="21"/>
              </w:rPr>
              <w:t>l</w:t>
            </w:r>
            <w:r w:rsidRPr="00DD1424">
              <w:rPr>
                <w:rFonts w:asciiTheme="majorHAnsi" w:hAnsiTheme="majorHAnsi" w:cstheme="majorHAnsi"/>
                <w:kern w:val="0"/>
                <w:sz w:val="21"/>
                <w:szCs w:val="21"/>
              </w:rPr>
              <w:t>’international reste un pilier de croissance pour le secteur avec 55 % du chiffre d’affaires réalisé à l’étranger, niveau globalement stable depuis sept ans.</w:t>
            </w:r>
            <w:r w:rsidR="007C6597">
              <w:rPr>
                <w:rFonts w:asciiTheme="majorHAnsi" w:hAnsiTheme="majorHAnsi" w:cstheme="majorHAnsi"/>
                <w:kern w:val="0"/>
                <w:sz w:val="21"/>
                <w:szCs w:val="21"/>
              </w:rPr>
              <w:t xml:space="preserve"> </w:t>
            </w:r>
            <w:r w:rsidRPr="00DD1424">
              <w:rPr>
                <w:rFonts w:asciiTheme="majorHAnsi" w:hAnsiTheme="majorHAnsi" w:cstheme="majorHAnsi"/>
                <w:kern w:val="0"/>
                <w:sz w:val="21"/>
                <w:szCs w:val="21"/>
              </w:rPr>
              <w:t>Les grands éditeurs au-delà de 100 M€ de CA concentrent l’essentiel de cette internationalisation, quand les plus petits restent majoritairement centrés sur le marché français.</w:t>
            </w:r>
            <w:r w:rsidR="00F264B2">
              <w:rPr>
                <w:rFonts w:asciiTheme="majorHAnsi" w:hAnsiTheme="majorHAnsi" w:cstheme="majorHAnsi"/>
                <w:kern w:val="0"/>
                <w:sz w:val="21"/>
                <w:szCs w:val="21"/>
              </w:rPr>
              <w:t xml:space="preserve"> </w:t>
            </w:r>
            <w:r w:rsidRPr="00DD1424">
              <w:rPr>
                <w:rFonts w:asciiTheme="majorHAnsi" w:hAnsiTheme="majorHAnsi" w:cstheme="majorHAnsi"/>
                <w:kern w:val="0"/>
                <w:sz w:val="21"/>
                <w:szCs w:val="21"/>
              </w:rPr>
              <w:t>Par ailleurs, 57 % des éditeurs envisagent une opération de croissance externe dans les prochaines années (+ 3 points vs 2023), signe d’une confiance renouvelée dans leur capacité à investir et à se diversifier.</w:t>
            </w:r>
          </w:p>
          <w:p w14:paraId="416F3C64" w14:textId="77777777" w:rsidR="0070101C" w:rsidRPr="00AD29E1" w:rsidRDefault="0070101C" w:rsidP="0070101C">
            <w:pPr>
              <w:jc w:val="both"/>
              <w:rPr>
                <w:rFonts w:asciiTheme="majorHAnsi" w:hAnsiTheme="majorHAnsi" w:cstheme="majorHAnsi"/>
                <w:color w:val="1F3864"/>
                <w:kern w:val="0"/>
                <w:sz w:val="21"/>
                <w:szCs w:val="21"/>
                <w:highlight w:val="yellow"/>
              </w:rPr>
            </w:pPr>
          </w:p>
          <w:p w14:paraId="1D687507" w14:textId="07712C8B" w:rsidR="006119B5" w:rsidRPr="00E343E7" w:rsidRDefault="00E343E7" w:rsidP="00E343E7">
            <w:pPr>
              <w:jc w:val="both"/>
              <w:rPr>
                <w:rFonts w:asciiTheme="majorHAnsi" w:hAnsiTheme="majorHAnsi" w:cstheme="majorHAnsi"/>
                <w:kern w:val="0"/>
                <w:sz w:val="21"/>
                <w:szCs w:val="21"/>
              </w:rPr>
            </w:pPr>
            <w:r w:rsidRPr="00E343E7">
              <w:rPr>
                <w:rFonts w:asciiTheme="majorHAnsi" w:hAnsiTheme="majorHAnsi" w:cstheme="majorHAnsi"/>
                <w:b/>
                <w:bCs/>
                <w:color w:val="1F3864"/>
                <w:kern w:val="0"/>
                <w:sz w:val="21"/>
                <w:szCs w:val="21"/>
              </w:rPr>
              <w:t>Le financement, clé de l’investissement dans l’IA</w:t>
            </w:r>
            <w:r>
              <w:rPr>
                <w:rFonts w:asciiTheme="majorHAnsi" w:hAnsiTheme="majorHAnsi" w:cstheme="majorHAnsi"/>
                <w:b/>
                <w:bCs/>
                <w:color w:val="1F3864"/>
                <w:kern w:val="0"/>
                <w:sz w:val="21"/>
                <w:szCs w:val="21"/>
              </w:rPr>
              <w:t xml:space="preserve"> : </w:t>
            </w:r>
            <w:r w:rsidRPr="00E343E7">
              <w:rPr>
                <w:rFonts w:asciiTheme="majorHAnsi" w:hAnsiTheme="majorHAnsi" w:cstheme="majorHAnsi"/>
                <w:kern w:val="0"/>
                <w:sz w:val="21"/>
                <w:szCs w:val="21"/>
              </w:rPr>
              <w:t>les éditeurs français conservent une structure financière solide, reposant principalement sur l’autofinancement et la rentabilité opérationnelle.</w:t>
            </w:r>
            <w:r w:rsidR="004E63E2">
              <w:rPr>
                <w:rFonts w:asciiTheme="majorHAnsi" w:hAnsiTheme="majorHAnsi" w:cstheme="majorHAnsi"/>
                <w:kern w:val="0"/>
                <w:sz w:val="21"/>
                <w:szCs w:val="21"/>
              </w:rPr>
              <w:t xml:space="preserve"> </w:t>
            </w:r>
            <w:r w:rsidRPr="00E343E7">
              <w:rPr>
                <w:rFonts w:asciiTheme="majorHAnsi" w:hAnsiTheme="majorHAnsi" w:cstheme="majorHAnsi"/>
                <w:kern w:val="0"/>
                <w:sz w:val="21"/>
                <w:szCs w:val="21"/>
              </w:rPr>
              <w:t xml:space="preserve">Si l’accès aux financements externes se complexifie, </w:t>
            </w:r>
            <w:r w:rsidR="00B07C64">
              <w:rPr>
                <w:rFonts w:asciiTheme="majorHAnsi" w:hAnsiTheme="majorHAnsi" w:cstheme="majorHAnsi"/>
                <w:kern w:val="0"/>
                <w:sz w:val="21"/>
                <w:szCs w:val="21"/>
              </w:rPr>
              <w:t>67</w:t>
            </w:r>
            <w:r w:rsidRPr="00E343E7">
              <w:rPr>
                <w:rFonts w:asciiTheme="majorHAnsi" w:hAnsiTheme="majorHAnsi" w:cstheme="majorHAnsi"/>
                <w:kern w:val="0"/>
                <w:sz w:val="21"/>
                <w:szCs w:val="21"/>
              </w:rPr>
              <w:t xml:space="preserve"> % des acteurs ont recours à l’endettement pour soutenir leur développement.</w:t>
            </w:r>
            <w:r w:rsidR="004E63E2">
              <w:rPr>
                <w:rFonts w:asciiTheme="majorHAnsi" w:hAnsiTheme="majorHAnsi" w:cstheme="majorHAnsi"/>
                <w:kern w:val="0"/>
                <w:sz w:val="21"/>
                <w:szCs w:val="21"/>
              </w:rPr>
              <w:t xml:space="preserve"> </w:t>
            </w:r>
            <w:r w:rsidRPr="00E343E7">
              <w:rPr>
                <w:rFonts w:asciiTheme="majorHAnsi" w:hAnsiTheme="majorHAnsi" w:cstheme="majorHAnsi"/>
                <w:kern w:val="0"/>
                <w:sz w:val="21"/>
                <w:szCs w:val="21"/>
              </w:rPr>
              <w:t xml:space="preserve">Les dispositifs publics demeurent des leviers indispensables : </w:t>
            </w:r>
            <w:r w:rsidR="00B07C64">
              <w:rPr>
                <w:rFonts w:asciiTheme="majorHAnsi" w:hAnsiTheme="majorHAnsi" w:cstheme="majorHAnsi"/>
                <w:kern w:val="0"/>
                <w:sz w:val="21"/>
                <w:szCs w:val="21"/>
              </w:rPr>
              <w:t xml:space="preserve">73 </w:t>
            </w:r>
            <w:r w:rsidRPr="00E343E7">
              <w:rPr>
                <w:rFonts w:asciiTheme="majorHAnsi" w:hAnsiTheme="majorHAnsi" w:cstheme="majorHAnsi"/>
                <w:kern w:val="0"/>
                <w:sz w:val="21"/>
                <w:szCs w:val="21"/>
              </w:rPr>
              <w:t>% des éditeurs bénéficient du Crédit d’Impôt Recherche (CIR)</w:t>
            </w:r>
            <w:r w:rsidR="00B07C64">
              <w:rPr>
                <w:rFonts w:asciiTheme="majorHAnsi" w:hAnsiTheme="majorHAnsi" w:cstheme="majorHAnsi"/>
                <w:kern w:val="0"/>
                <w:sz w:val="21"/>
                <w:szCs w:val="21"/>
              </w:rPr>
              <w:t xml:space="preserve">. </w:t>
            </w:r>
            <w:r w:rsidRPr="00E343E7">
              <w:rPr>
                <w:rFonts w:asciiTheme="majorHAnsi" w:hAnsiTheme="majorHAnsi" w:cstheme="majorHAnsi"/>
                <w:kern w:val="0"/>
                <w:sz w:val="21"/>
                <w:szCs w:val="21"/>
              </w:rPr>
              <w:t>Dans un contexte de transformation technologique rapide, la préservation de ces outils apparaît cruciale pour maintenir la compétitivité de la R&amp;D française et encourager les investissements autour de l’intelligence artificielle.</w:t>
            </w:r>
          </w:p>
          <w:p w14:paraId="09DD5693" w14:textId="77777777" w:rsidR="00AF75DC" w:rsidRPr="00AD29E1" w:rsidRDefault="00AF75DC" w:rsidP="0021019A">
            <w:pPr>
              <w:jc w:val="both"/>
              <w:rPr>
                <w:rFonts w:asciiTheme="majorHAnsi" w:hAnsiTheme="majorHAnsi" w:cstheme="majorHAnsi"/>
                <w:kern w:val="0"/>
                <w:sz w:val="21"/>
                <w:szCs w:val="21"/>
                <w:highlight w:val="yellow"/>
              </w:rPr>
            </w:pPr>
          </w:p>
          <w:p w14:paraId="03BB3ED0" w14:textId="45F1E7A7" w:rsidR="00CC3C77" w:rsidRPr="00CC3C77" w:rsidRDefault="00CC3C77" w:rsidP="00CC3C77">
            <w:pPr>
              <w:jc w:val="both"/>
              <w:rPr>
                <w:rFonts w:asciiTheme="majorHAnsi" w:hAnsiTheme="majorHAnsi" w:cstheme="majorHAnsi"/>
                <w:kern w:val="0"/>
                <w:sz w:val="21"/>
                <w:szCs w:val="21"/>
              </w:rPr>
            </w:pPr>
            <w:r w:rsidRPr="00CC3C77">
              <w:rPr>
                <w:rFonts w:asciiTheme="majorHAnsi" w:hAnsiTheme="majorHAnsi" w:cstheme="majorHAnsi"/>
                <w:b/>
                <w:bCs/>
                <w:color w:val="1F3864"/>
                <w:kern w:val="0"/>
                <w:sz w:val="21"/>
                <w:szCs w:val="21"/>
              </w:rPr>
              <w:t>Les cyberattaques, une menace constante</w:t>
            </w:r>
            <w:r>
              <w:rPr>
                <w:rFonts w:asciiTheme="majorHAnsi" w:hAnsiTheme="majorHAnsi" w:cstheme="majorHAnsi"/>
                <w:b/>
                <w:bCs/>
                <w:color w:val="1F3864"/>
                <w:kern w:val="0"/>
                <w:sz w:val="21"/>
                <w:szCs w:val="21"/>
              </w:rPr>
              <w:t xml:space="preserve"> : </w:t>
            </w:r>
            <w:r w:rsidRPr="00CC3C77">
              <w:rPr>
                <w:rFonts w:asciiTheme="majorHAnsi" w:hAnsiTheme="majorHAnsi" w:cstheme="majorHAnsi"/>
                <w:kern w:val="0"/>
                <w:sz w:val="21"/>
                <w:szCs w:val="21"/>
              </w:rPr>
              <w:t xml:space="preserve">la cybersécurité reste un enjeu majeur pour le secteur : </w:t>
            </w:r>
            <w:r w:rsidR="00F1309F">
              <w:rPr>
                <w:rFonts w:asciiTheme="majorHAnsi" w:hAnsiTheme="majorHAnsi" w:cstheme="majorHAnsi"/>
                <w:kern w:val="0"/>
                <w:sz w:val="21"/>
                <w:szCs w:val="21"/>
              </w:rPr>
              <w:t>57</w:t>
            </w:r>
            <w:r w:rsidRPr="00CC3C77">
              <w:rPr>
                <w:rFonts w:asciiTheme="majorHAnsi" w:hAnsiTheme="majorHAnsi" w:cstheme="majorHAnsi"/>
                <w:kern w:val="0"/>
                <w:sz w:val="21"/>
                <w:szCs w:val="21"/>
              </w:rPr>
              <w:t xml:space="preserve"> % des éditeurs ont subi au moins une tentative d’intrusion en 2024.</w:t>
            </w:r>
            <w:r w:rsidR="00015CFC">
              <w:rPr>
                <w:rFonts w:asciiTheme="majorHAnsi" w:hAnsiTheme="majorHAnsi" w:cstheme="majorHAnsi"/>
                <w:kern w:val="0"/>
                <w:sz w:val="21"/>
                <w:szCs w:val="21"/>
              </w:rPr>
              <w:t xml:space="preserve"> </w:t>
            </w:r>
            <w:r w:rsidRPr="00CC3C77">
              <w:rPr>
                <w:rFonts w:asciiTheme="majorHAnsi" w:hAnsiTheme="majorHAnsi" w:cstheme="majorHAnsi"/>
                <w:kern w:val="0"/>
                <w:sz w:val="21"/>
                <w:szCs w:val="21"/>
              </w:rPr>
              <w:t xml:space="preserve">Le phishing et les </w:t>
            </w:r>
            <w:r w:rsidR="006021D4">
              <w:rPr>
                <w:rFonts w:asciiTheme="majorHAnsi" w:hAnsiTheme="majorHAnsi" w:cstheme="majorHAnsi"/>
                <w:kern w:val="0"/>
                <w:sz w:val="21"/>
                <w:szCs w:val="21"/>
              </w:rPr>
              <w:t>ranso</w:t>
            </w:r>
            <w:r w:rsidR="008B1065">
              <w:rPr>
                <w:rFonts w:asciiTheme="majorHAnsi" w:hAnsiTheme="majorHAnsi" w:cstheme="majorHAnsi"/>
                <w:kern w:val="0"/>
                <w:sz w:val="21"/>
                <w:szCs w:val="21"/>
              </w:rPr>
              <w:t>m</w:t>
            </w:r>
            <w:r w:rsidRPr="00CC3C77">
              <w:rPr>
                <w:rFonts w:asciiTheme="majorHAnsi" w:hAnsiTheme="majorHAnsi" w:cstheme="majorHAnsi"/>
                <w:kern w:val="0"/>
                <w:sz w:val="21"/>
                <w:szCs w:val="21"/>
              </w:rPr>
              <w:t>wares demeurent les principales menaces identifiées.</w:t>
            </w:r>
            <w:r w:rsidR="00015CFC">
              <w:rPr>
                <w:rFonts w:asciiTheme="majorHAnsi" w:hAnsiTheme="majorHAnsi" w:cstheme="majorHAnsi"/>
                <w:kern w:val="0"/>
                <w:sz w:val="21"/>
                <w:szCs w:val="21"/>
              </w:rPr>
              <w:t xml:space="preserve"> </w:t>
            </w:r>
            <w:r w:rsidRPr="00CC3C77">
              <w:rPr>
                <w:rFonts w:asciiTheme="majorHAnsi" w:hAnsiTheme="majorHAnsi" w:cstheme="majorHAnsi"/>
                <w:kern w:val="0"/>
                <w:sz w:val="21"/>
                <w:szCs w:val="21"/>
              </w:rPr>
              <w:t>8</w:t>
            </w:r>
            <w:r w:rsidR="00AC641B">
              <w:rPr>
                <w:rFonts w:asciiTheme="majorHAnsi" w:hAnsiTheme="majorHAnsi" w:cstheme="majorHAnsi"/>
                <w:kern w:val="0"/>
                <w:sz w:val="21"/>
                <w:szCs w:val="21"/>
              </w:rPr>
              <w:t>5</w:t>
            </w:r>
            <w:r w:rsidRPr="00CC3C77">
              <w:rPr>
                <w:rFonts w:asciiTheme="majorHAnsi" w:hAnsiTheme="majorHAnsi" w:cstheme="majorHAnsi"/>
                <w:kern w:val="0"/>
                <w:sz w:val="21"/>
                <w:szCs w:val="21"/>
              </w:rPr>
              <w:t xml:space="preserve"> % des éditeurs confient l’hébergement de leurs données à des prestataires externes ou à des fournisseurs cloud certifiés, afin de se concentrer sur leur cœur d’activité tout en garantissant un haut niveau de protection.</w:t>
            </w:r>
            <w:r w:rsidR="00015CFC">
              <w:rPr>
                <w:rFonts w:asciiTheme="majorHAnsi" w:hAnsiTheme="majorHAnsi" w:cstheme="majorHAnsi"/>
                <w:kern w:val="0"/>
                <w:sz w:val="21"/>
                <w:szCs w:val="21"/>
              </w:rPr>
              <w:t xml:space="preserve"> </w:t>
            </w:r>
            <w:r w:rsidRPr="00CC3C77">
              <w:rPr>
                <w:rFonts w:asciiTheme="majorHAnsi" w:hAnsiTheme="majorHAnsi" w:cstheme="majorHAnsi"/>
                <w:kern w:val="0"/>
                <w:sz w:val="21"/>
                <w:szCs w:val="21"/>
              </w:rPr>
              <w:t>Dans un contexte d’adoption rapide de l’IA, la sécurisation des modèles, des données et des infrastructures s’impose comme une priorité de gouvernance et de souveraineté.</w:t>
            </w:r>
          </w:p>
          <w:p w14:paraId="0BD270E8" w14:textId="77777777" w:rsidR="006574ED" w:rsidRPr="00AD29E1" w:rsidRDefault="006574ED" w:rsidP="006D4392">
            <w:pPr>
              <w:jc w:val="both"/>
              <w:rPr>
                <w:rFonts w:asciiTheme="majorHAnsi" w:hAnsiTheme="majorHAnsi" w:cstheme="majorHAnsi"/>
                <w:kern w:val="0"/>
                <w:sz w:val="21"/>
                <w:szCs w:val="21"/>
                <w:highlight w:val="yellow"/>
              </w:rPr>
            </w:pPr>
          </w:p>
          <w:p w14:paraId="5EFCAD13" w14:textId="20AE094F" w:rsidR="00964A44" w:rsidRPr="00FC4358" w:rsidRDefault="00FC4358" w:rsidP="00E342FD">
            <w:pPr>
              <w:jc w:val="both"/>
              <w:rPr>
                <w:rFonts w:asciiTheme="majorHAnsi" w:hAnsiTheme="majorHAnsi" w:cstheme="majorHAnsi"/>
                <w:kern w:val="0"/>
                <w:sz w:val="21"/>
                <w:szCs w:val="21"/>
              </w:rPr>
            </w:pPr>
            <w:r w:rsidRPr="00FC4358">
              <w:rPr>
                <w:rFonts w:asciiTheme="majorHAnsi" w:hAnsiTheme="majorHAnsi" w:cstheme="majorHAnsi"/>
                <w:b/>
                <w:bCs/>
                <w:color w:val="1F3864"/>
                <w:kern w:val="0"/>
                <w:sz w:val="21"/>
                <w:szCs w:val="21"/>
              </w:rPr>
              <w:lastRenderedPageBreak/>
              <w:t>L’innovation, moteur central du modèle français</w:t>
            </w:r>
            <w:r>
              <w:rPr>
                <w:rFonts w:asciiTheme="majorHAnsi" w:hAnsiTheme="majorHAnsi" w:cstheme="majorHAnsi"/>
                <w:b/>
                <w:bCs/>
                <w:color w:val="1F3864"/>
                <w:kern w:val="0"/>
                <w:sz w:val="21"/>
                <w:szCs w:val="21"/>
              </w:rPr>
              <w:t xml:space="preserve"> : </w:t>
            </w:r>
            <w:r w:rsidRPr="00FC4358">
              <w:rPr>
                <w:rFonts w:asciiTheme="majorHAnsi" w:hAnsiTheme="majorHAnsi" w:cstheme="majorHAnsi"/>
                <w:kern w:val="0"/>
                <w:sz w:val="21"/>
                <w:szCs w:val="21"/>
              </w:rPr>
              <w:t>73 % des éditeurs identifient l’innovation comme leur premier levier de croissance, devant la croissance géographique</w:t>
            </w:r>
            <w:r w:rsidR="006021D4">
              <w:rPr>
                <w:rFonts w:asciiTheme="majorHAnsi" w:hAnsiTheme="majorHAnsi" w:cstheme="majorHAnsi"/>
                <w:kern w:val="0"/>
                <w:sz w:val="21"/>
                <w:szCs w:val="21"/>
              </w:rPr>
              <w:t xml:space="preserve"> (3</w:t>
            </w:r>
            <w:r w:rsidR="006021D4" w:rsidRPr="006021D4">
              <w:rPr>
                <w:rFonts w:asciiTheme="majorHAnsi" w:hAnsiTheme="majorHAnsi" w:cstheme="majorHAnsi"/>
                <w:kern w:val="0"/>
                <w:sz w:val="21"/>
                <w:szCs w:val="21"/>
                <w:vertAlign w:val="superscript"/>
              </w:rPr>
              <w:t>e</w:t>
            </w:r>
            <w:r w:rsidR="006021D4">
              <w:rPr>
                <w:rFonts w:asciiTheme="majorHAnsi" w:hAnsiTheme="majorHAnsi" w:cstheme="majorHAnsi"/>
                <w:kern w:val="0"/>
                <w:sz w:val="21"/>
                <w:szCs w:val="21"/>
              </w:rPr>
              <w:t>)</w:t>
            </w:r>
            <w:r w:rsidRPr="00FC4358">
              <w:rPr>
                <w:rFonts w:asciiTheme="majorHAnsi" w:hAnsiTheme="majorHAnsi" w:cstheme="majorHAnsi"/>
                <w:kern w:val="0"/>
                <w:sz w:val="21"/>
                <w:szCs w:val="21"/>
              </w:rPr>
              <w:t xml:space="preserve"> et le cross-</w:t>
            </w:r>
            <w:proofErr w:type="spellStart"/>
            <w:r w:rsidRPr="00FC4358">
              <w:rPr>
                <w:rFonts w:asciiTheme="majorHAnsi" w:hAnsiTheme="majorHAnsi" w:cstheme="majorHAnsi"/>
                <w:kern w:val="0"/>
                <w:sz w:val="21"/>
                <w:szCs w:val="21"/>
              </w:rPr>
              <w:t>selling</w:t>
            </w:r>
            <w:proofErr w:type="spellEnd"/>
            <w:r w:rsidR="006021D4">
              <w:rPr>
                <w:rFonts w:asciiTheme="majorHAnsi" w:hAnsiTheme="majorHAnsi" w:cstheme="majorHAnsi"/>
                <w:kern w:val="0"/>
                <w:sz w:val="21"/>
                <w:szCs w:val="21"/>
              </w:rPr>
              <w:t xml:space="preserve"> (4</w:t>
            </w:r>
            <w:r w:rsidR="006021D4" w:rsidRPr="006021D4">
              <w:rPr>
                <w:rFonts w:asciiTheme="majorHAnsi" w:hAnsiTheme="majorHAnsi" w:cstheme="majorHAnsi"/>
                <w:kern w:val="0"/>
                <w:sz w:val="21"/>
                <w:szCs w:val="21"/>
                <w:vertAlign w:val="superscript"/>
              </w:rPr>
              <w:t>e</w:t>
            </w:r>
            <w:r w:rsidR="006021D4">
              <w:rPr>
                <w:rFonts w:asciiTheme="majorHAnsi" w:hAnsiTheme="majorHAnsi" w:cstheme="majorHAnsi"/>
                <w:kern w:val="0"/>
                <w:sz w:val="21"/>
                <w:szCs w:val="21"/>
              </w:rPr>
              <w:t>)</w:t>
            </w:r>
            <w:r w:rsidRPr="00FC4358">
              <w:rPr>
                <w:rFonts w:asciiTheme="majorHAnsi" w:hAnsiTheme="majorHAnsi" w:cstheme="majorHAnsi"/>
                <w:kern w:val="0"/>
                <w:sz w:val="21"/>
                <w:szCs w:val="21"/>
              </w:rPr>
              <w:t>.</w:t>
            </w:r>
            <w:r w:rsidR="00015CFC">
              <w:rPr>
                <w:rFonts w:asciiTheme="majorHAnsi" w:hAnsiTheme="majorHAnsi" w:cstheme="majorHAnsi"/>
                <w:kern w:val="0"/>
                <w:sz w:val="21"/>
                <w:szCs w:val="21"/>
              </w:rPr>
              <w:t xml:space="preserve"> </w:t>
            </w:r>
            <w:r w:rsidRPr="00FC4358">
              <w:rPr>
                <w:rFonts w:asciiTheme="majorHAnsi" w:hAnsiTheme="majorHAnsi" w:cstheme="majorHAnsi"/>
                <w:kern w:val="0"/>
                <w:sz w:val="21"/>
                <w:szCs w:val="21"/>
              </w:rPr>
              <w:t>L’essor des solutions “AI-native</w:t>
            </w:r>
            <w:r w:rsidR="004B2EDD" w:rsidRPr="00FC4358">
              <w:rPr>
                <w:rFonts w:asciiTheme="majorHAnsi" w:hAnsiTheme="majorHAnsi" w:cstheme="majorHAnsi"/>
                <w:kern w:val="0"/>
                <w:sz w:val="21"/>
                <w:szCs w:val="21"/>
              </w:rPr>
              <w:t>“</w:t>
            </w:r>
            <w:r>
              <w:rPr>
                <w:rFonts w:asciiTheme="majorHAnsi" w:hAnsiTheme="majorHAnsi" w:cstheme="majorHAnsi"/>
                <w:kern w:val="0"/>
                <w:sz w:val="21"/>
                <w:szCs w:val="21"/>
              </w:rPr>
              <w:t xml:space="preserve">, </w:t>
            </w:r>
            <w:r w:rsidRPr="00FC4358">
              <w:rPr>
                <w:rFonts w:asciiTheme="majorHAnsi" w:hAnsiTheme="majorHAnsi" w:cstheme="majorHAnsi"/>
                <w:kern w:val="0"/>
                <w:sz w:val="21"/>
                <w:szCs w:val="21"/>
              </w:rPr>
              <w:t>conçues autour de l’intelligence artificielle dès leur origine</w:t>
            </w:r>
            <w:r>
              <w:rPr>
                <w:rFonts w:asciiTheme="majorHAnsi" w:hAnsiTheme="majorHAnsi" w:cstheme="majorHAnsi"/>
                <w:kern w:val="0"/>
                <w:sz w:val="21"/>
                <w:szCs w:val="21"/>
              </w:rPr>
              <w:t>,</w:t>
            </w:r>
            <w:r w:rsidRPr="00FC4358">
              <w:rPr>
                <w:rFonts w:asciiTheme="majorHAnsi" w:hAnsiTheme="majorHAnsi" w:cstheme="majorHAnsi"/>
                <w:kern w:val="0"/>
                <w:sz w:val="21"/>
                <w:szCs w:val="21"/>
              </w:rPr>
              <w:t xml:space="preserve"> témoigne </w:t>
            </w:r>
            <w:r w:rsidR="009C0382">
              <w:rPr>
                <w:rFonts w:asciiTheme="majorHAnsi" w:hAnsiTheme="majorHAnsi" w:cstheme="majorHAnsi"/>
                <w:kern w:val="0"/>
                <w:sz w:val="21"/>
                <w:szCs w:val="21"/>
              </w:rPr>
              <w:t>de cette tendance</w:t>
            </w:r>
            <w:r w:rsidR="00215F74">
              <w:rPr>
                <w:rFonts w:asciiTheme="majorHAnsi" w:hAnsiTheme="majorHAnsi" w:cstheme="majorHAnsi"/>
                <w:kern w:val="0"/>
                <w:sz w:val="21"/>
                <w:szCs w:val="21"/>
              </w:rPr>
              <w:t>.</w:t>
            </w:r>
            <w:r w:rsidR="00E342FD">
              <w:rPr>
                <w:rFonts w:asciiTheme="majorHAnsi" w:hAnsiTheme="majorHAnsi" w:cstheme="majorHAnsi"/>
                <w:kern w:val="0"/>
                <w:sz w:val="21"/>
                <w:szCs w:val="21"/>
              </w:rPr>
              <w:t xml:space="preserve"> </w:t>
            </w:r>
            <w:r w:rsidR="00C25D5D">
              <w:rPr>
                <w:rFonts w:asciiTheme="majorHAnsi" w:hAnsiTheme="majorHAnsi" w:cstheme="majorHAnsi"/>
                <w:kern w:val="0"/>
                <w:sz w:val="21"/>
                <w:szCs w:val="21"/>
              </w:rPr>
              <w:t>Cité</w:t>
            </w:r>
            <w:r w:rsidRPr="00FC4358">
              <w:rPr>
                <w:rFonts w:asciiTheme="majorHAnsi" w:hAnsiTheme="majorHAnsi" w:cstheme="majorHAnsi"/>
                <w:kern w:val="0"/>
                <w:sz w:val="21"/>
                <w:szCs w:val="21"/>
              </w:rPr>
              <w:t xml:space="preserve"> par 23 % des répondants, </w:t>
            </w:r>
            <w:r w:rsidR="00C25D5D">
              <w:rPr>
                <w:rFonts w:asciiTheme="majorHAnsi" w:hAnsiTheme="majorHAnsi" w:cstheme="majorHAnsi"/>
                <w:kern w:val="0"/>
                <w:sz w:val="21"/>
                <w:szCs w:val="21"/>
              </w:rPr>
              <w:t>l’</w:t>
            </w:r>
            <w:proofErr w:type="spellStart"/>
            <w:r w:rsidR="00C25D5D">
              <w:rPr>
                <w:rFonts w:asciiTheme="majorHAnsi" w:hAnsiTheme="majorHAnsi" w:cstheme="majorHAnsi"/>
                <w:kern w:val="0"/>
                <w:sz w:val="21"/>
                <w:szCs w:val="21"/>
              </w:rPr>
              <w:t>upselling</w:t>
            </w:r>
            <w:proofErr w:type="spellEnd"/>
            <w:r w:rsidR="00C25D5D">
              <w:rPr>
                <w:rFonts w:asciiTheme="majorHAnsi" w:hAnsiTheme="majorHAnsi" w:cstheme="majorHAnsi"/>
                <w:kern w:val="0"/>
                <w:sz w:val="21"/>
                <w:szCs w:val="21"/>
              </w:rPr>
              <w:t xml:space="preserve"> (2</w:t>
            </w:r>
            <w:r w:rsidR="00C25D5D" w:rsidRPr="001A10CA">
              <w:rPr>
                <w:rFonts w:asciiTheme="majorHAnsi" w:hAnsiTheme="majorHAnsi" w:cstheme="majorHAnsi"/>
                <w:kern w:val="0"/>
                <w:sz w:val="21"/>
                <w:szCs w:val="21"/>
                <w:vertAlign w:val="superscript"/>
              </w:rPr>
              <w:t>e</w:t>
            </w:r>
            <w:r w:rsidR="00C25D5D">
              <w:rPr>
                <w:rFonts w:asciiTheme="majorHAnsi" w:hAnsiTheme="majorHAnsi" w:cstheme="majorHAnsi"/>
                <w:kern w:val="0"/>
                <w:sz w:val="21"/>
                <w:szCs w:val="21"/>
              </w:rPr>
              <w:t xml:space="preserve">) </w:t>
            </w:r>
            <w:r w:rsidRPr="00FC4358">
              <w:rPr>
                <w:rFonts w:asciiTheme="majorHAnsi" w:hAnsiTheme="majorHAnsi" w:cstheme="majorHAnsi"/>
                <w:kern w:val="0"/>
                <w:sz w:val="21"/>
                <w:szCs w:val="21"/>
              </w:rPr>
              <w:t xml:space="preserve">s’impose comme un levier </w:t>
            </w:r>
            <w:r w:rsidR="0060531B">
              <w:rPr>
                <w:rFonts w:asciiTheme="majorHAnsi" w:hAnsiTheme="majorHAnsi" w:cstheme="majorHAnsi"/>
                <w:kern w:val="0"/>
                <w:sz w:val="21"/>
                <w:szCs w:val="21"/>
              </w:rPr>
              <w:t xml:space="preserve">de croissance </w:t>
            </w:r>
            <w:r w:rsidRPr="00FC4358">
              <w:rPr>
                <w:rFonts w:asciiTheme="majorHAnsi" w:hAnsiTheme="majorHAnsi" w:cstheme="majorHAnsi"/>
                <w:kern w:val="0"/>
                <w:sz w:val="21"/>
                <w:szCs w:val="21"/>
              </w:rPr>
              <w:t xml:space="preserve">majeur pour enrichir les offres existantes et </w:t>
            </w:r>
            <w:r w:rsidR="003A70F8">
              <w:rPr>
                <w:rFonts w:asciiTheme="majorHAnsi" w:hAnsiTheme="majorHAnsi" w:cstheme="majorHAnsi"/>
                <w:kern w:val="0"/>
                <w:sz w:val="21"/>
                <w:szCs w:val="21"/>
              </w:rPr>
              <w:t xml:space="preserve">augmenter </w:t>
            </w:r>
            <w:r w:rsidR="004564F3">
              <w:rPr>
                <w:rFonts w:asciiTheme="majorHAnsi" w:hAnsiTheme="majorHAnsi" w:cstheme="majorHAnsi"/>
                <w:kern w:val="0"/>
                <w:sz w:val="21"/>
                <w:szCs w:val="21"/>
              </w:rPr>
              <w:t>la valeur générée par</w:t>
            </w:r>
            <w:r w:rsidRPr="00FC4358">
              <w:rPr>
                <w:rFonts w:asciiTheme="majorHAnsi" w:hAnsiTheme="majorHAnsi" w:cstheme="majorHAnsi"/>
                <w:kern w:val="0"/>
                <w:sz w:val="21"/>
                <w:szCs w:val="21"/>
              </w:rPr>
              <w:t xml:space="preserve"> client.</w:t>
            </w:r>
            <w:r w:rsidR="00E342FD">
              <w:rPr>
                <w:rFonts w:asciiTheme="majorHAnsi" w:hAnsiTheme="majorHAnsi" w:cstheme="majorHAnsi"/>
                <w:kern w:val="0"/>
                <w:sz w:val="21"/>
                <w:szCs w:val="21"/>
              </w:rPr>
              <w:t xml:space="preserve"> </w:t>
            </w:r>
          </w:p>
          <w:p w14:paraId="7A39B6AA" w14:textId="77777777" w:rsidR="00FC4358" w:rsidRDefault="00FC4358" w:rsidP="00FC4358">
            <w:pPr>
              <w:rPr>
                <w:rFonts w:asciiTheme="majorHAnsi" w:hAnsiTheme="majorHAnsi" w:cstheme="majorHAnsi"/>
                <w:color w:val="1F3864"/>
                <w:kern w:val="0"/>
                <w:sz w:val="21"/>
                <w:szCs w:val="21"/>
              </w:rPr>
            </w:pPr>
          </w:p>
          <w:p w14:paraId="37CBD2A5" w14:textId="310F1C67" w:rsidR="00BD3411" w:rsidRPr="00184ADA" w:rsidRDefault="000C5603" w:rsidP="00D105A2">
            <w:pPr>
              <w:jc w:val="both"/>
              <w:rPr>
                <w:rFonts w:asciiTheme="majorHAnsi" w:hAnsiTheme="majorHAnsi" w:cstheme="majorHAnsi"/>
                <w:i/>
                <w:iCs/>
                <w:kern w:val="0"/>
                <w:sz w:val="21"/>
                <w:szCs w:val="21"/>
              </w:rPr>
            </w:pPr>
            <w:r w:rsidRPr="000C5603">
              <w:rPr>
                <w:rFonts w:asciiTheme="majorHAnsi" w:hAnsiTheme="majorHAnsi" w:cstheme="majorHAnsi"/>
                <w:i/>
                <w:iCs/>
                <w:kern w:val="0"/>
                <w:sz w:val="21"/>
                <w:szCs w:val="21"/>
              </w:rPr>
              <w:t>«</w:t>
            </w:r>
            <w:r w:rsidR="00A44E62">
              <w:rPr>
                <w:rFonts w:asciiTheme="majorHAnsi" w:hAnsiTheme="majorHAnsi" w:cstheme="majorHAnsi"/>
                <w:i/>
                <w:iCs/>
                <w:kern w:val="0"/>
                <w:sz w:val="21"/>
                <w:szCs w:val="21"/>
              </w:rPr>
              <w:t> </w:t>
            </w:r>
            <w:r w:rsidR="00D045BE">
              <w:rPr>
                <w:rFonts w:asciiTheme="majorHAnsi" w:hAnsiTheme="majorHAnsi" w:cstheme="majorHAnsi"/>
                <w:i/>
                <w:iCs/>
                <w:kern w:val="0"/>
                <w:sz w:val="21"/>
                <w:szCs w:val="21"/>
              </w:rPr>
              <w:t>A</w:t>
            </w:r>
            <w:r w:rsidR="00D045BE" w:rsidRPr="00D045BE">
              <w:rPr>
                <w:rFonts w:asciiTheme="majorHAnsi" w:hAnsiTheme="majorHAnsi" w:cstheme="majorHAnsi"/>
                <w:i/>
                <w:iCs/>
                <w:kern w:val="0"/>
                <w:sz w:val="21"/>
                <w:szCs w:val="21"/>
              </w:rPr>
              <w:t>près l’ère du cloud et du</w:t>
            </w:r>
            <w:r w:rsidR="00D045BE">
              <w:rPr>
                <w:rFonts w:asciiTheme="majorHAnsi" w:hAnsiTheme="majorHAnsi" w:cstheme="majorHAnsi"/>
                <w:i/>
                <w:iCs/>
                <w:kern w:val="0"/>
                <w:sz w:val="21"/>
                <w:szCs w:val="21"/>
              </w:rPr>
              <w:t xml:space="preserve"> </w:t>
            </w:r>
            <w:r w:rsidR="00D045BE" w:rsidRPr="00D045BE">
              <w:rPr>
                <w:rFonts w:asciiTheme="majorHAnsi" w:hAnsiTheme="majorHAnsi" w:cstheme="majorHAnsi"/>
                <w:i/>
                <w:iCs/>
                <w:kern w:val="0"/>
                <w:sz w:val="21"/>
                <w:szCs w:val="21"/>
              </w:rPr>
              <w:t xml:space="preserve">SaaS (Software as a Service), </w:t>
            </w:r>
            <w:r w:rsidR="000F1F3B">
              <w:rPr>
                <w:rFonts w:asciiTheme="majorHAnsi" w:hAnsiTheme="majorHAnsi" w:cstheme="majorHAnsi"/>
                <w:i/>
                <w:iCs/>
                <w:kern w:val="0"/>
                <w:sz w:val="21"/>
                <w:szCs w:val="21"/>
              </w:rPr>
              <w:t xml:space="preserve">le secteur </w:t>
            </w:r>
            <w:r w:rsidR="00D105A2" w:rsidRPr="00D105A2">
              <w:rPr>
                <w:rFonts w:asciiTheme="majorHAnsi" w:hAnsiTheme="majorHAnsi" w:cstheme="majorHAnsi"/>
                <w:i/>
                <w:iCs/>
                <w:kern w:val="0"/>
                <w:sz w:val="21"/>
                <w:szCs w:val="21"/>
              </w:rPr>
              <w:t xml:space="preserve">entre dans </w:t>
            </w:r>
            <w:r w:rsidR="000F1F3B">
              <w:rPr>
                <w:rFonts w:asciiTheme="majorHAnsi" w:hAnsiTheme="majorHAnsi" w:cstheme="majorHAnsi"/>
                <w:i/>
                <w:iCs/>
                <w:kern w:val="0"/>
                <w:sz w:val="21"/>
                <w:szCs w:val="21"/>
              </w:rPr>
              <w:t>celle de l’intelligence</w:t>
            </w:r>
            <w:r w:rsidR="00E6527D">
              <w:rPr>
                <w:rFonts w:asciiTheme="majorHAnsi" w:hAnsiTheme="majorHAnsi" w:cstheme="majorHAnsi"/>
                <w:i/>
                <w:iCs/>
                <w:kern w:val="0"/>
                <w:sz w:val="21"/>
                <w:szCs w:val="21"/>
              </w:rPr>
              <w:t xml:space="preserve"> </w:t>
            </w:r>
            <w:r w:rsidR="00D105A2" w:rsidRPr="00D105A2">
              <w:rPr>
                <w:rFonts w:asciiTheme="majorHAnsi" w:hAnsiTheme="majorHAnsi" w:cstheme="majorHAnsi"/>
                <w:i/>
                <w:iCs/>
                <w:kern w:val="0"/>
                <w:sz w:val="21"/>
                <w:szCs w:val="21"/>
              </w:rPr>
              <w:t>agentique</w:t>
            </w:r>
            <w:r w:rsidR="000375CC">
              <w:rPr>
                <w:rFonts w:asciiTheme="majorHAnsi" w:hAnsiTheme="majorHAnsi" w:cstheme="majorHAnsi"/>
                <w:i/>
                <w:iCs/>
                <w:kern w:val="0"/>
                <w:sz w:val="21"/>
                <w:szCs w:val="21"/>
              </w:rPr>
              <w:t> </w:t>
            </w:r>
            <w:r w:rsidR="00D105A2" w:rsidRPr="00D105A2">
              <w:rPr>
                <w:rFonts w:asciiTheme="majorHAnsi" w:hAnsiTheme="majorHAnsi" w:cstheme="majorHAnsi"/>
                <w:i/>
                <w:iCs/>
                <w:kern w:val="0"/>
                <w:sz w:val="21"/>
                <w:szCs w:val="21"/>
              </w:rPr>
              <w:t>: celle où les systèmes logiciels ne se</w:t>
            </w:r>
            <w:r w:rsidR="000F1F3B">
              <w:rPr>
                <w:rFonts w:asciiTheme="majorHAnsi" w:hAnsiTheme="majorHAnsi" w:cstheme="majorHAnsi"/>
                <w:i/>
                <w:iCs/>
                <w:kern w:val="0"/>
                <w:sz w:val="21"/>
                <w:szCs w:val="21"/>
              </w:rPr>
              <w:t xml:space="preserve"> </w:t>
            </w:r>
            <w:r w:rsidR="00D105A2" w:rsidRPr="00D105A2">
              <w:rPr>
                <w:rFonts w:asciiTheme="majorHAnsi" w:hAnsiTheme="majorHAnsi" w:cstheme="majorHAnsi"/>
                <w:i/>
                <w:iCs/>
                <w:kern w:val="0"/>
                <w:sz w:val="21"/>
                <w:szCs w:val="21"/>
              </w:rPr>
              <w:t>contentent plus d’automatiser, mais</w:t>
            </w:r>
            <w:r w:rsidR="000F1F3B">
              <w:rPr>
                <w:rFonts w:asciiTheme="majorHAnsi" w:hAnsiTheme="majorHAnsi" w:cstheme="majorHAnsi"/>
                <w:i/>
                <w:iCs/>
                <w:kern w:val="0"/>
                <w:sz w:val="21"/>
                <w:szCs w:val="21"/>
              </w:rPr>
              <w:t xml:space="preserve"> </w:t>
            </w:r>
            <w:r w:rsidR="00D105A2" w:rsidRPr="00D105A2">
              <w:rPr>
                <w:rFonts w:asciiTheme="majorHAnsi" w:hAnsiTheme="majorHAnsi" w:cstheme="majorHAnsi"/>
                <w:i/>
                <w:iCs/>
                <w:kern w:val="0"/>
                <w:sz w:val="21"/>
                <w:szCs w:val="21"/>
              </w:rPr>
              <w:t>apprennent, planifient et agissent de manière</w:t>
            </w:r>
            <w:r w:rsidR="000F1F3B">
              <w:rPr>
                <w:rFonts w:asciiTheme="majorHAnsi" w:hAnsiTheme="majorHAnsi" w:cstheme="majorHAnsi"/>
                <w:i/>
                <w:iCs/>
                <w:kern w:val="0"/>
                <w:sz w:val="21"/>
                <w:szCs w:val="21"/>
              </w:rPr>
              <w:t xml:space="preserve"> </w:t>
            </w:r>
            <w:r w:rsidR="00D105A2" w:rsidRPr="00D105A2">
              <w:rPr>
                <w:rFonts w:asciiTheme="majorHAnsi" w:hAnsiTheme="majorHAnsi" w:cstheme="majorHAnsi"/>
                <w:i/>
                <w:iCs/>
                <w:kern w:val="0"/>
                <w:sz w:val="21"/>
                <w:szCs w:val="21"/>
              </w:rPr>
              <w:t>autonome.</w:t>
            </w:r>
            <w:r w:rsidR="00E6527D">
              <w:rPr>
                <w:rFonts w:asciiTheme="majorHAnsi" w:hAnsiTheme="majorHAnsi" w:cstheme="majorHAnsi"/>
                <w:i/>
                <w:iCs/>
                <w:kern w:val="0"/>
                <w:sz w:val="21"/>
                <w:szCs w:val="21"/>
              </w:rPr>
              <w:t xml:space="preserve"> </w:t>
            </w:r>
            <w:r w:rsidRPr="000C5603">
              <w:rPr>
                <w:rFonts w:asciiTheme="majorHAnsi" w:hAnsiTheme="majorHAnsi" w:cstheme="majorHAnsi"/>
                <w:i/>
                <w:iCs/>
                <w:kern w:val="0"/>
                <w:sz w:val="21"/>
                <w:szCs w:val="21"/>
              </w:rPr>
              <w:t>Les éditeurs français disposent de tous les atouts</w:t>
            </w:r>
            <w:r w:rsidR="00292117" w:rsidRPr="00292117">
              <w:rPr>
                <w:rFonts w:asciiTheme="majorHAnsi" w:hAnsiTheme="majorHAnsi" w:cstheme="majorHAnsi"/>
                <w:i/>
                <w:iCs/>
                <w:kern w:val="0"/>
                <w:sz w:val="21"/>
                <w:szCs w:val="21"/>
              </w:rPr>
              <w:t xml:space="preserve"> pour aborder ce nouveau cycle : des </w:t>
            </w:r>
            <w:r w:rsidRPr="000C5603">
              <w:rPr>
                <w:rFonts w:asciiTheme="majorHAnsi" w:hAnsiTheme="majorHAnsi" w:cstheme="majorHAnsi"/>
                <w:i/>
                <w:iCs/>
                <w:kern w:val="0"/>
                <w:sz w:val="21"/>
                <w:szCs w:val="21"/>
              </w:rPr>
              <w:t>compétences</w:t>
            </w:r>
            <w:r w:rsidR="00292117" w:rsidRPr="00292117">
              <w:rPr>
                <w:rFonts w:asciiTheme="majorHAnsi" w:hAnsiTheme="majorHAnsi" w:cstheme="majorHAnsi"/>
                <w:i/>
                <w:iCs/>
                <w:kern w:val="0"/>
                <w:sz w:val="21"/>
                <w:szCs w:val="21"/>
              </w:rPr>
              <w:t xml:space="preserve"> reconnues, un </w:t>
            </w:r>
            <w:r w:rsidRPr="000C5603">
              <w:rPr>
                <w:rFonts w:asciiTheme="majorHAnsi" w:hAnsiTheme="majorHAnsi" w:cstheme="majorHAnsi"/>
                <w:i/>
                <w:iCs/>
                <w:kern w:val="0"/>
                <w:sz w:val="21"/>
                <w:szCs w:val="21"/>
              </w:rPr>
              <w:t xml:space="preserve">ancrage </w:t>
            </w:r>
            <w:r w:rsidR="00292117" w:rsidRPr="00292117">
              <w:rPr>
                <w:rFonts w:asciiTheme="majorHAnsi" w:hAnsiTheme="majorHAnsi" w:cstheme="majorHAnsi"/>
                <w:i/>
                <w:iCs/>
                <w:kern w:val="0"/>
                <w:sz w:val="21"/>
                <w:szCs w:val="21"/>
              </w:rPr>
              <w:t>fort dans la R&amp;D</w:t>
            </w:r>
            <w:r w:rsidR="00825A35">
              <w:rPr>
                <w:rFonts w:asciiTheme="majorHAnsi" w:hAnsiTheme="majorHAnsi" w:cstheme="majorHAnsi"/>
                <w:i/>
                <w:iCs/>
                <w:kern w:val="0"/>
                <w:sz w:val="21"/>
                <w:szCs w:val="21"/>
              </w:rPr>
              <w:t xml:space="preserve"> et</w:t>
            </w:r>
            <w:r w:rsidRPr="000C5603">
              <w:rPr>
                <w:rFonts w:asciiTheme="majorHAnsi" w:hAnsiTheme="majorHAnsi" w:cstheme="majorHAnsi"/>
                <w:i/>
                <w:iCs/>
                <w:kern w:val="0"/>
                <w:sz w:val="21"/>
                <w:szCs w:val="21"/>
              </w:rPr>
              <w:t xml:space="preserve"> </w:t>
            </w:r>
            <w:r w:rsidR="00292117" w:rsidRPr="00292117">
              <w:rPr>
                <w:rFonts w:asciiTheme="majorHAnsi" w:hAnsiTheme="majorHAnsi" w:cstheme="majorHAnsi"/>
                <w:i/>
                <w:iCs/>
                <w:kern w:val="0"/>
                <w:sz w:val="21"/>
                <w:szCs w:val="21"/>
              </w:rPr>
              <w:t xml:space="preserve">une </w:t>
            </w:r>
            <w:r w:rsidRPr="000C5603">
              <w:rPr>
                <w:rFonts w:asciiTheme="majorHAnsi" w:hAnsiTheme="majorHAnsi" w:cstheme="majorHAnsi"/>
                <w:i/>
                <w:iCs/>
                <w:kern w:val="0"/>
                <w:sz w:val="21"/>
                <w:szCs w:val="21"/>
              </w:rPr>
              <w:t>culture de la confiance</w:t>
            </w:r>
            <w:r w:rsidR="00292117" w:rsidRPr="00292117">
              <w:rPr>
                <w:rFonts w:asciiTheme="majorHAnsi" w:hAnsiTheme="majorHAnsi" w:cstheme="majorHAnsi"/>
                <w:i/>
                <w:iCs/>
                <w:kern w:val="0"/>
                <w:sz w:val="21"/>
                <w:szCs w:val="21"/>
              </w:rPr>
              <w:t xml:space="preserve"> qui fait la singularité de notre écosystème.</w:t>
            </w:r>
            <w:r w:rsidR="007941D9" w:rsidRPr="007941D9">
              <w:rPr>
                <w:rFonts w:asciiTheme="majorHAnsi" w:hAnsiTheme="majorHAnsi" w:cstheme="majorHAnsi"/>
                <w:i/>
                <w:iCs/>
                <w:kern w:val="0"/>
                <w:sz w:val="21"/>
                <w:szCs w:val="21"/>
              </w:rPr>
              <w:t xml:space="preserve"> </w:t>
            </w:r>
            <w:r w:rsidR="00B84320">
              <w:rPr>
                <w:rFonts w:asciiTheme="majorHAnsi" w:hAnsiTheme="majorHAnsi" w:cstheme="majorHAnsi"/>
                <w:i/>
                <w:iCs/>
                <w:kern w:val="0"/>
                <w:sz w:val="21"/>
                <w:szCs w:val="21"/>
              </w:rPr>
              <w:t xml:space="preserve">Ce </w:t>
            </w:r>
            <w:r w:rsidR="00292117" w:rsidRPr="00292117">
              <w:rPr>
                <w:rFonts w:asciiTheme="majorHAnsi" w:hAnsiTheme="majorHAnsi" w:cstheme="majorHAnsi"/>
                <w:i/>
                <w:iCs/>
                <w:kern w:val="0"/>
                <w:sz w:val="21"/>
                <w:szCs w:val="21"/>
              </w:rPr>
              <w:t>socle solide leur</w:t>
            </w:r>
            <w:r w:rsidR="00B84320">
              <w:rPr>
                <w:rFonts w:asciiTheme="majorHAnsi" w:hAnsiTheme="majorHAnsi" w:cstheme="majorHAnsi"/>
                <w:i/>
                <w:iCs/>
                <w:kern w:val="0"/>
                <w:sz w:val="21"/>
                <w:szCs w:val="21"/>
              </w:rPr>
              <w:t xml:space="preserve"> permettra de</w:t>
            </w:r>
            <w:r w:rsidRPr="000C5603">
              <w:rPr>
                <w:rFonts w:asciiTheme="majorHAnsi" w:hAnsiTheme="majorHAnsi" w:cstheme="majorHAnsi"/>
                <w:i/>
                <w:iCs/>
                <w:kern w:val="0"/>
                <w:sz w:val="21"/>
                <w:szCs w:val="21"/>
              </w:rPr>
              <w:t xml:space="preserve"> transformer cette mutation </w:t>
            </w:r>
            <w:r w:rsidR="00292117" w:rsidRPr="00292117">
              <w:rPr>
                <w:rFonts w:asciiTheme="majorHAnsi" w:hAnsiTheme="majorHAnsi" w:cstheme="majorHAnsi"/>
                <w:i/>
                <w:iCs/>
                <w:kern w:val="0"/>
                <w:sz w:val="21"/>
                <w:szCs w:val="21"/>
              </w:rPr>
              <w:t xml:space="preserve">technologique </w:t>
            </w:r>
            <w:r w:rsidRPr="000C5603">
              <w:rPr>
                <w:rFonts w:asciiTheme="majorHAnsi" w:hAnsiTheme="majorHAnsi" w:cstheme="majorHAnsi"/>
                <w:i/>
                <w:iCs/>
                <w:kern w:val="0"/>
                <w:sz w:val="21"/>
                <w:szCs w:val="21"/>
              </w:rPr>
              <w:t xml:space="preserve">en </w:t>
            </w:r>
            <w:r w:rsidR="00292117" w:rsidRPr="00292117">
              <w:rPr>
                <w:rFonts w:asciiTheme="majorHAnsi" w:hAnsiTheme="majorHAnsi" w:cstheme="majorHAnsi"/>
                <w:i/>
                <w:iCs/>
                <w:kern w:val="0"/>
                <w:sz w:val="21"/>
                <w:szCs w:val="21"/>
              </w:rPr>
              <w:t xml:space="preserve">véritable </w:t>
            </w:r>
            <w:r w:rsidRPr="000C5603">
              <w:rPr>
                <w:rFonts w:asciiTheme="majorHAnsi" w:hAnsiTheme="majorHAnsi" w:cstheme="majorHAnsi"/>
                <w:i/>
                <w:iCs/>
                <w:kern w:val="0"/>
                <w:sz w:val="21"/>
                <w:szCs w:val="21"/>
              </w:rPr>
              <w:t xml:space="preserve">opportunité économique </w:t>
            </w:r>
            <w:r w:rsidR="00292117" w:rsidRPr="00292117">
              <w:rPr>
                <w:rFonts w:asciiTheme="majorHAnsi" w:hAnsiTheme="majorHAnsi" w:cstheme="majorHAnsi"/>
                <w:i/>
                <w:iCs/>
                <w:kern w:val="0"/>
                <w:sz w:val="21"/>
                <w:szCs w:val="21"/>
              </w:rPr>
              <w:t xml:space="preserve">pour la France </w:t>
            </w:r>
            <w:r w:rsidRPr="000C5603">
              <w:rPr>
                <w:rFonts w:asciiTheme="majorHAnsi" w:hAnsiTheme="majorHAnsi" w:cstheme="majorHAnsi"/>
                <w:i/>
                <w:iCs/>
                <w:kern w:val="0"/>
                <w:sz w:val="21"/>
                <w:szCs w:val="21"/>
              </w:rPr>
              <w:t>et pour l’Europe</w:t>
            </w:r>
            <w:r>
              <w:rPr>
                <w:rFonts w:asciiTheme="majorHAnsi" w:hAnsiTheme="majorHAnsi" w:cstheme="majorHAnsi"/>
                <w:i/>
                <w:iCs/>
                <w:kern w:val="0"/>
                <w:sz w:val="21"/>
                <w:szCs w:val="21"/>
              </w:rPr>
              <w:t xml:space="preserve">. </w:t>
            </w:r>
            <w:r w:rsidR="007941D9" w:rsidRPr="007941D9">
              <w:rPr>
                <w:rFonts w:asciiTheme="majorHAnsi" w:hAnsiTheme="majorHAnsi" w:cstheme="majorHAnsi"/>
                <w:i/>
                <w:iCs/>
                <w:kern w:val="0"/>
                <w:sz w:val="21"/>
                <w:szCs w:val="21"/>
              </w:rPr>
              <w:t xml:space="preserve">Cette édition du Top 250 </w:t>
            </w:r>
            <w:r w:rsidR="00292117" w:rsidRPr="00292117">
              <w:rPr>
                <w:rFonts w:asciiTheme="majorHAnsi" w:hAnsiTheme="majorHAnsi" w:cstheme="majorHAnsi"/>
                <w:i/>
                <w:iCs/>
                <w:kern w:val="0"/>
                <w:sz w:val="21"/>
                <w:szCs w:val="21"/>
              </w:rPr>
              <w:t>illustre une fois encore</w:t>
            </w:r>
            <w:r w:rsidR="007941D9" w:rsidRPr="007941D9">
              <w:rPr>
                <w:rFonts w:asciiTheme="majorHAnsi" w:hAnsiTheme="majorHAnsi" w:cstheme="majorHAnsi"/>
                <w:i/>
                <w:iCs/>
                <w:kern w:val="0"/>
                <w:sz w:val="21"/>
                <w:szCs w:val="21"/>
              </w:rPr>
              <w:t xml:space="preserve"> la capacité du secteur à rester résilient tout en innovant, </w:t>
            </w:r>
            <w:r w:rsidR="00292117" w:rsidRPr="00292117">
              <w:rPr>
                <w:rFonts w:asciiTheme="majorHAnsi" w:hAnsiTheme="majorHAnsi" w:cstheme="majorHAnsi"/>
                <w:i/>
                <w:iCs/>
                <w:kern w:val="0"/>
                <w:sz w:val="21"/>
                <w:szCs w:val="21"/>
              </w:rPr>
              <w:t>à conjuguer performance et responsabilité.</w:t>
            </w:r>
            <w:r w:rsidR="007941D9" w:rsidRPr="007941D9">
              <w:rPr>
                <w:rFonts w:asciiTheme="majorHAnsi" w:hAnsiTheme="majorHAnsi" w:cstheme="majorHAnsi"/>
                <w:i/>
                <w:iCs/>
                <w:kern w:val="0"/>
                <w:sz w:val="21"/>
                <w:szCs w:val="21"/>
              </w:rPr>
              <w:t xml:space="preserve"> L’adoption </w:t>
            </w:r>
            <w:r w:rsidR="00292117" w:rsidRPr="00292117">
              <w:rPr>
                <w:rFonts w:asciiTheme="majorHAnsi" w:hAnsiTheme="majorHAnsi" w:cstheme="majorHAnsi"/>
                <w:i/>
                <w:iCs/>
                <w:kern w:val="0"/>
                <w:sz w:val="21"/>
                <w:szCs w:val="21"/>
              </w:rPr>
              <w:t>fulgurante</w:t>
            </w:r>
            <w:r w:rsidR="007941D9" w:rsidRPr="007941D9">
              <w:rPr>
                <w:rFonts w:asciiTheme="majorHAnsi" w:hAnsiTheme="majorHAnsi" w:cstheme="majorHAnsi"/>
                <w:i/>
                <w:iCs/>
                <w:kern w:val="0"/>
                <w:sz w:val="21"/>
                <w:szCs w:val="21"/>
              </w:rPr>
              <w:t xml:space="preserve"> de l’IA générative </w:t>
            </w:r>
            <w:r w:rsidR="00292117" w:rsidRPr="00292117">
              <w:rPr>
                <w:rFonts w:asciiTheme="majorHAnsi" w:hAnsiTheme="majorHAnsi" w:cstheme="majorHAnsi"/>
                <w:i/>
                <w:iCs/>
                <w:kern w:val="0"/>
                <w:sz w:val="21"/>
                <w:szCs w:val="21"/>
              </w:rPr>
              <w:t>témoigne</w:t>
            </w:r>
            <w:r w:rsidR="007941D9" w:rsidRPr="007941D9">
              <w:rPr>
                <w:rFonts w:asciiTheme="majorHAnsi" w:hAnsiTheme="majorHAnsi" w:cstheme="majorHAnsi"/>
                <w:i/>
                <w:iCs/>
                <w:kern w:val="0"/>
                <w:sz w:val="21"/>
                <w:szCs w:val="21"/>
              </w:rPr>
              <w:t xml:space="preserve"> d’un écosystème </w:t>
            </w:r>
            <w:r w:rsidR="00292117" w:rsidRPr="00292117">
              <w:rPr>
                <w:rFonts w:asciiTheme="majorHAnsi" w:hAnsiTheme="majorHAnsi" w:cstheme="majorHAnsi"/>
                <w:i/>
                <w:iCs/>
                <w:kern w:val="0"/>
                <w:sz w:val="21"/>
                <w:szCs w:val="21"/>
              </w:rPr>
              <w:t xml:space="preserve">vivant, </w:t>
            </w:r>
            <w:r w:rsidR="007941D9" w:rsidRPr="007941D9">
              <w:rPr>
                <w:rFonts w:asciiTheme="majorHAnsi" w:hAnsiTheme="majorHAnsi" w:cstheme="majorHAnsi"/>
                <w:i/>
                <w:iCs/>
                <w:kern w:val="0"/>
                <w:sz w:val="21"/>
                <w:szCs w:val="21"/>
              </w:rPr>
              <w:t xml:space="preserve">qui investit dans la R&amp;D, les talents et la </w:t>
            </w:r>
            <w:r w:rsidR="00292117" w:rsidRPr="00292117">
              <w:rPr>
                <w:rFonts w:asciiTheme="majorHAnsi" w:hAnsiTheme="majorHAnsi" w:cstheme="majorHAnsi"/>
                <w:i/>
                <w:iCs/>
                <w:kern w:val="0"/>
                <w:sz w:val="21"/>
                <w:szCs w:val="21"/>
              </w:rPr>
              <w:t>souveraineté</w:t>
            </w:r>
            <w:r w:rsidR="007941D9" w:rsidRPr="007941D9">
              <w:rPr>
                <w:rFonts w:asciiTheme="majorHAnsi" w:hAnsiTheme="majorHAnsi" w:cstheme="majorHAnsi"/>
                <w:i/>
                <w:iCs/>
                <w:kern w:val="0"/>
                <w:sz w:val="21"/>
                <w:szCs w:val="21"/>
              </w:rPr>
              <w:t xml:space="preserve"> numérique. L’enjeu n’est plus seulement de produire d</w:t>
            </w:r>
            <w:r w:rsidR="00D505EB">
              <w:rPr>
                <w:rFonts w:asciiTheme="majorHAnsi" w:hAnsiTheme="majorHAnsi" w:cstheme="majorHAnsi"/>
                <w:i/>
                <w:iCs/>
                <w:kern w:val="0"/>
                <w:sz w:val="21"/>
                <w:szCs w:val="21"/>
              </w:rPr>
              <w:t>es outils</w:t>
            </w:r>
            <w:r w:rsidR="007941D9" w:rsidRPr="007941D9">
              <w:rPr>
                <w:rFonts w:asciiTheme="majorHAnsi" w:hAnsiTheme="majorHAnsi" w:cstheme="majorHAnsi"/>
                <w:i/>
                <w:iCs/>
                <w:kern w:val="0"/>
                <w:sz w:val="21"/>
                <w:szCs w:val="21"/>
              </w:rPr>
              <w:t xml:space="preserve"> logiciel</w:t>
            </w:r>
            <w:r w:rsidR="000375CC">
              <w:rPr>
                <w:rFonts w:asciiTheme="majorHAnsi" w:hAnsiTheme="majorHAnsi" w:cstheme="majorHAnsi"/>
                <w:i/>
                <w:iCs/>
                <w:kern w:val="0"/>
                <w:sz w:val="21"/>
                <w:szCs w:val="21"/>
              </w:rPr>
              <w:t>s</w:t>
            </w:r>
            <w:r w:rsidR="007941D9" w:rsidRPr="007941D9">
              <w:rPr>
                <w:rFonts w:asciiTheme="majorHAnsi" w:hAnsiTheme="majorHAnsi" w:cstheme="majorHAnsi"/>
                <w:i/>
                <w:iCs/>
                <w:kern w:val="0"/>
                <w:sz w:val="21"/>
                <w:szCs w:val="21"/>
              </w:rPr>
              <w:t xml:space="preserve">, mais </w:t>
            </w:r>
            <w:r w:rsidR="00292117" w:rsidRPr="00292117">
              <w:rPr>
                <w:rFonts w:asciiTheme="majorHAnsi" w:hAnsiTheme="majorHAnsi" w:cstheme="majorHAnsi"/>
                <w:i/>
                <w:iCs/>
                <w:kern w:val="0"/>
                <w:sz w:val="21"/>
                <w:szCs w:val="21"/>
              </w:rPr>
              <w:t>de concevoir</w:t>
            </w:r>
            <w:r w:rsidR="007941D9" w:rsidRPr="007941D9">
              <w:rPr>
                <w:rFonts w:asciiTheme="majorHAnsi" w:hAnsiTheme="majorHAnsi" w:cstheme="majorHAnsi"/>
                <w:i/>
                <w:iCs/>
                <w:kern w:val="0"/>
                <w:sz w:val="21"/>
                <w:szCs w:val="21"/>
              </w:rPr>
              <w:t xml:space="preserve"> des systèmes </w:t>
            </w:r>
            <w:r w:rsidR="00D505EB" w:rsidRPr="00D505EB">
              <w:rPr>
                <w:rFonts w:asciiTheme="majorHAnsi" w:hAnsiTheme="majorHAnsi" w:cstheme="majorHAnsi"/>
                <w:i/>
                <w:iCs/>
                <w:kern w:val="0"/>
                <w:sz w:val="21"/>
                <w:szCs w:val="21"/>
              </w:rPr>
              <w:t>capables d’orchestrer, de raisonner et d’agir</w:t>
            </w:r>
            <w:r w:rsidR="00292117" w:rsidRPr="00292117">
              <w:rPr>
                <w:rFonts w:asciiTheme="majorHAnsi" w:hAnsiTheme="majorHAnsi" w:cstheme="majorHAnsi"/>
                <w:i/>
                <w:iCs/>
                <w:kern w:val="0"/>
                <w:sz w:val="21"/>
                <w:szCs w:val="21"/>
              </w:rPr>
              <w:t>. C’est</w:t>
            </w:r>
            <w:r w:rsidR="007941D9" w:rsidRPr="007941D9">
              <w:rPr>
                <w:rFonts w:asciiTheme="majorHAnsi" w:hAnsiTheme="majorHAnsi" w:cstheme="majorHAnsi"/>
                <w:i/>
                <w:iCs/>
                <w:kern w:val="0"/>
                <w:sz w:val="21"/>
                <w:szCs w:val="21"/>
              </w:rPr>
              <w:t xml:space="preserve"> cette exigence d’innovation et de coopération qui </w:t>
            </w:r>
            <w:r w:rsidR="00292117" w:rsidRPr="00292117">
              <w:rPr>
                <w:rFonts w:asciiTheme="majorHAnsi" w:hAnsiTheme="majorHAnsi" w:cstheme="majorHAnsi"/>
                <w:i/>
                <w:iCs/>
                <w:kern w:val="0"/>
                <w:sz w:val="21"/>
                <w:szCs w:val="21"/>
              </w:rPr>
              <w:t>permettra au</w:t>
            </w:r>
            <w:r w:rsidR="007941D9" w:rsidRPr="007941D9">
              <w:rPr>
                <w:rFonts w:asciiTheme="majorHAnsi" w:hAnsiTheme="majorHAnsi" w:cstheme="majorHAnsi"/>
                <w:i/>
                <w:iCs/>
                <w:kern w:val="0"/>
                <w:sz w:val="21"/>
                <w:szCs w:val="21"/>
              </w:rPr>
              <w:t xml:space="preserve"> logiciel français </w:t>
            </w:r>
            <w:r w:rsidR="00292117" w:rsidRPr="00292117">
              <w:rPr>
                <w:rFonts w:asciiTheme="majorHAnsi" w:hAnsiTheme="majorHAnsi" w:cstheme="majorHAnsi"/>
                <w:i/>
                <w:iCs/>
                <w:kern w:val="0"/>
                <w:sz w:val="21"/>
                <w:szCs w:val="21"/>
              </w:rPr>
              <w:t xml:space="preserve">de s’imposer comme </w:t>
            </w:r>
            <w:r w:rsidR="007941D9" w:rsidRPr="007941D9">
              <w:rPr>
                <w:rFonts w:asciiTheme="majorHAnsi" w:hAnsiTheme="majorHAnsi" w:cstheme="majorHAnsi"/>
                <w:i/>
                <w:iCs/>
                <w:kern w:val="0"/>
                <w:sz w:val="21"/>
                <w:szCs w:val="21"/>
              </w:rPr>
              <w:t xml:space="preserve">un </w:t>
            </w:r>
            <w:r w:rsidR="00292117" w:rsidRPr="00292117">
              <w:rPr>
                <w:rFonts w:asciiTheme="majorHAnsi" w:hAnsiTheme="majorHAnsi" w:cstheme="majorHAnsi"/>
                <w:i/>
                <w:iCs/>
                <w:kern w:val="0"/>
                <w:sz w:val="21"/>
                <w:szCs w:val="21"/>
              </w:rPr>
              <w:t>pilier</w:t>
            </w:r>
            <w:r w:rsidR="007941D9" w:rsidRPr="007941D9">
              <w:rPr>
                <w:rFonts w:asciiTheme="majorHAnsi" w:hAnsiTheme="majorHAnsi" w:cstheme="majorHAnsi"/>
                <w:i/>
                <w:iCs/>
                <w:kern w:val="0"/>
                <w:sz w:val="21"/>
                <w:szCs w:val="21"/>
              </w:rPr>
              <w:t xml:space="preserve"> stratégique </w:t>
            </w:r>
            <w:r w:rsidR="00292117" w:rsidRPr="00292117">
              <w:rPr>
                <w:rFonts w:asciiTheme="majorHAnsi" w:hAnsiTheme="majorHAnsi" w:cstheme="majorHAnsi"/>
                <w:i/>
                <w:iCs/>
                <w:kern w:val="0"/>
                <w:sz w:val="21"/>
                <w:szCs w:val="21"/>
              </w:rPr>
              <w:t>de la transformation</w:t>
            </w:r>
            <w:r w:rsidR="007941D9" w:rsidRPr="007941D9">
              <w:rPr>
                <w:rFonts w:asciiTheme="majorHAnsi" w:hAnsiTheme="majorHAnsi" w:cstheme="majorHAnsi"/>
                <w:i/>
                <w:iCs/>
                <w:kern w:val="0"/>
                <w:sz w:val="21"/>
                <w:szCs w:val="21"/>
              </w:rPr>
              <w:t xml:space="preserve"> numérique </w:t>
            </w:r>
            <w:r w:rsidR="00292117" w:rsidRPr="00292117">
              <w:rPr>
                <w:rFonts w:asciiTheme="majorHAnsi" w:hAnsiTheme="majorHAnsi" w:cstheme="majorHAnsi"/>
                <w:i/>
                <w:iCs/>
                <w:kern w:val="0"/>
                <w:sz w:val="21"/>
                <w:szCs w:val="21"/>
              </w:rPr>
              <w:t>européenne</w:t>
            </w:r>
            <w:r w:rsidR="007941D9" w:rsidRPr="007941D9">
              <w:rPr>
                <w:rFonts w:asciiTheme="majorHAnsi" w:hAnsiTheme="majorHAnsi" w:cstheme="majorHAnsi"/>
                <w:i/>
                <w:iCs/>
                <w:kern w:val="0"/>
                <w:sz w:val="21"/>
                <w:szCs w:val="21"/>
              </w:rPr>
              <w:t xml:space="preserve"> </w:t>
            </w:r>
            <w:r w:rsidR="00184ADA">
              <w:rPr>
                <w:rFonts w:asciiTheme="majorHAnsi" w:hAnsiTheme="majorHAnsi" w:cstheme="majorHAnsi"/>
                <w:i/>
                <w:iCs/>
                <w:kern w:val="0"/>
                <w:sz w:val="21"/>
                <w:szCs w:val="21"/>
              </w:rPr>
              <w:t xml:space="preserve">», </w:t>
            </w:r>
            <w:r w:rsidR="00374D80" w:rsidRPr="00940C82">
              <w:rPr>
                <w:rFonts w:asciiTheme="majorHAnsi" w:hAnsiTheme="majorHAnsi" w:cstheme="majorHAnsi"/>
                <w:sz w:val="21"/>
                <w:szCs w:val="21"/>
              </w:rPr>
              <w:t>souligne</w:t>
            </w:r>
            <w:r w:rsidR="00154A41" w:rsidRPr="00BD3411">
              <w:rPr>
                <w:rFonts w:asciiTheme="majorHAnsi" w:hAnsiTheme="majorHAnsi" w:cstheme="majorHAnsi"/>
                <w:b/>
                <w:bCs/>
                <w:sz w:val="21"/>
                <w:szCs w:val="21"/>
              </w:rPr>
              <w:t xml:space="preserve"> </w:t>
            </w:r>
            <w:r w:rsidR="00D00876">
              <w:rPr>
                <w:rFonts w:asciiTheme="majorHAnsi" w:hAnsiTheme="majorHAnsi" w:cstheme="majorHAnsi"/>
                <w:b/>
                <w:bCs/>
                <w:sz w:val="21"/>
                <w:szCs w:val="21"/>
              </w:rPr>
              <w:t>Jean-Philippe Couturier</w:t>
            </w:r>
            <w:r w:rsidR="00922996" w:rsidRPr="00BD3411">
              <w:rPr>
                <w:rFonts w:asciiTheme="majorHAnsi" w:hAnsiTheme="majorHAnsi" w:cstheme="majorHAnsi"/>
                <w:b/>
                <w:bCs/>
                <w:sz w:val="21"/>
                <w:szCs w:val="21"/>
              </w:rPr>
              <w:t xml:space="preserve">, </w:t>
            </w:r>
            <w:r w:rsidR="00B31DB2" w:rsidRPr="00BD3411">
              <w:rPr>
                <w:rFonts w:asciiTheme="majorHAnsi" w:hAnsiTheme="majorHAnsi" w:cstheme="majorHAnsi"/>
                <w:b/>
                <w:bCs/>
                <w:sz w:val="21"/>
                <w:szCs w:val="21"/>
              </w:rPr>
              <w:t>président du collège</w:t>
            </w:r>
            <w:r w:rsidR="00BD3411" w:rsidRPr="00BD3411">
              <w:rPr>
                <w:rFonts w:asciiTheme="majorHAnsi" w:hAnsiTheme="majorHAnsi" w:cstheme="majorHAnsi"/>
                <w:b/>
                <w:bCs/>
                <w:sz w:val="21"/>
                <w:szCs w:val="21"/>
              </w:rPr>
              <w:t xml:space="preserve"> </w:t>
            </w:r>
            <w:r w:rsidR="00B31DB2" w:rsidRPr="00BD3411">
              <w:rPr>
                <w:rFonts w:asciiTheme="majorHAnsi" w:hAnsiTheme="majorHAnsi" w:cstheme="majorHAnsi"/>
                <w:b/>
                <w:bCs/>
                <w:sz w:val="21"/>
                <w:szCs w:val="21"/>
              </w:rPr>
              <w:t>Editeurs et Plateformes de Numeum.</w:t>
            </w:r>
          </w:p>
          <w:p w14:paraId="6AEBAEB3" w14:textId="77777777" w:rsidR="00951136" w:rsidRDefault="00951136" w:rsidP="00B31DB2">
            <w:pPr>
              <w:rPr>
                <w:rFonts w:asciiTheme="majorHAnsi" w:hAnsiTheme="majorHAnsi" w:cstheme="majorHAnsi"/>
                <w:color w:val="1F3864"/>
                <w:kern w:val="0"/>
                <w:sz w:val="21"/>
                <w:szCs w:val="21"/>
              </w:rPr>
            </w:pPr>
          </w:p>
          <w:p w14:paraId="4135DFDB" w14:textId="2BC171F6" w:rsidR="00964A44" w:rsidRDefault="000C5603" w:rsidP="00884241">
            <w:pPr>
              <w:jc w:val="both"/>
              <w:rPr>
                <w:rFonts w:asciiTheme="majorHAnsi" w:hAnsiTheme="majorHAnsi" w:cstheme="majorHAnsi"/>
                <w:i/>
                <w:iCs/>
                <w:kern w:val="0"/>
                <w:sz w:val="21"/>
                <w:szCs w:val="21"/>
              </w:rPr>
            </w:pPr>
            <w:bookmarkStart w:id="0" w:name="_Hlk213241605"/>
            <w:r w:rsidRPr="000C5603">
              <w:rPr>
                <w:rFonts w:asciiTheme="majorHAnsi" w:hAnsiTheme="majorHAnsi" w:cstheme="majorHAnsi"/>
                <w:i/>
                <w:iCs/>
                <w:kern w:val="0"/>
                <w:sz w:val="21"/>
                <w:szCs w:val="21"/>
              </w:rPr>
              <w:t>«</w:t>
            </w:r>
            <w:r w:rsidR="00757C23" w:rsidRPr="00757C23">
              <w:rPr>
                <w:rFonts w:asciiTheme="majorHAnsi" w:hAnsiTheme="majorHAnsi" w:cstheme="majorHAnsi"/>
                <w:i/>
                <w:iCs/>
                <w:kern w:val="0"/>
                <w:sz w:val="21"/>
                <w:szCs w:val="21"/>
              </w:rPr>
              <w:t xml:space="preserve"> 2025 confirme la solidité d’un secteur qui, </w:t>
            </w:r>
            <w:r w:rsidR="008D45EE">
              <w:rPr>
                <w:rFonts w:asciiTheme="majorHAnsi" w:hAnsiTheme="majorHAnsi" w:cstheme="majorHAnsi"/>
                <w:i/>
                <w:iCs/>
                <w:kern w:val="0"/>
                <w:sz w:val="21"/>
                <w:szCs w:val="21"/>
              </w:rPr>
              <w:t xml:space="preserve">malgré </w:t>
            </w:r>
            <w:r w:rsidR="00757C23" w:rsidRPr="00757C23">
              <w:rPr>
                <w:rFonts w:asciiTheme="majorHAnsi" w:hAnsiTheme="majorHAnsi" w:cstheme="majorHAnsi"/>
                <w:i/>
                <w:iCs/>
                <w:kern w:val="0"/>
                <w:sz w:val="21"/>
                <w:szCs w:val="21"/>
              </w:rPr>
              <w:t>le ralentissement économique</w:t>
            </w:r>
            <w:r w:rsidR="008D45EE">
              <w:rPr>
                <w:rFonts w:asciiTheme="majorHAnsi" w:hAnsiTheme="majorHAnsi" w:cstheme="majorHAnsi"/>
                <w:i/>
                <w:iCs/>
                <w:kern w:val="0"/>
                <w:sz w:val="21"/>
                <w:szCs w:val="21"/>
              </w:rPr>
              <w:t xml:space="preserve"> et les incertitudes</w:t>
            </w:r>
            <w:r w:rsidR="00757C23" w:rsidRPr="00757C23">
              <w:rPr>
                <w:rFonts w:asciiTheme="majorHAnsi" w:hAnsiTheme="majorHAnsi" w:cstheme="majorHAnsi"/>
                <w:i/>
                <w:iCs/>
                <w:kern w:val="0"/>
                <w:sz w:val="21"/>
                <w:szCs w:val="21"/>
              </w:rPr>
              <w:t xml:space="preserve">, </w:t>
            </w:r>
            <w:r w:rsidR="00441917">
              <w:rPr>
                <w:rFonts w:asciiTheme="majorHAnsi" w:hAnsiTheme="majorHAnsi" w:cstheme="majorHAnsi"/>
                <w:i/>
                <w:iCs/>
                <w:kern w:val="0"/>
                <w:sz w:val="21"/>
                <w:szCs w:val="21"/>
              </w:rPr>
              <w:t>maintient</w:t>
            </w:r>
            <w:r w:rsidR="008D45EE">
              <w:rPr>
                <w:rFonts w:asciiTheme="majorHAnsi" w:hAnsiTheme="majorHAnsi" w:cstheme="majorHAnsi"/>
                <w:i/>
                <w:iCs/>
                <w:kern w:val="0"/>
                <w:sz w:val="21"/>
                <w:szCs w:val="21"/>
              </w:rPr>
              <w:t xml:space="preserve"> une croissance élevée et </w:t>
            </w:r>
            <w:r w:rsidR="00441917">
              <w:rPr>
                <w:rFonts w:asciiTheme="majorHAnsi" w:hAnsiTheme="majorHAnsi" w:cstheme="majorHAnsi"/>
                <w:i/>
                <w:iCs/>
                <w:kern w:val="0"/>
                <w:sz w:val="21"/>
                <w:szCs w:val="21"/>
              </w:rPr>
              <w:t>conserve ses ambitions</w:t>
            </w:r>
            <w:r w:rsidR="00757C23" w:rsidRPr="00757C23">
              <w:rPr>
                <w:rFonts w:asciiTheme="majorHAnsi" w:hAnsiTheme="majorHAnsi" w:cstheme="majorHAnsi"/>
                <w:i/>
                <w:iCs/>
                <w:kern w:val="0"/>
                <w:sz w:val="21"/>
                <w:szCs w:val="21"/>
              </w:rPr>
              <w:t xml:space="preserve">. Nous voyons émerger une nouvelle génération d’éditeurs, souvent “AI-native”, qui redéfinissent les modèles économiques et accélèrent la transformation du paysage logiciel français. </w:t>
            </w:r>
            <w:r w:rsidR="008D45EE">
              <w:rPr>
                <w:rFonts w:asciiTheme="majorHAnsi" w:hAnsiTheme="majorHAnsi" w:cstheme="majorHAnsi"/>
                <w:i/>
                <w:iCs/>
                <w:kern w:val="0"/>
                <w:sz w:val="21"/>
                <w:szCs w:val="21"/>
              </w:rPr>
              <w:t>De leur côté</w:t>
            </w:r>
            <w:r w:rsidR="00757C23" w:rsidRPr="00757C23">
              <w:rPr>
                <w:rFonts w:asciiTheme="majorHAnsi" w:hAnsiTheme="majorHAnsi" w:cstheme="majorHAnsi"/>
                <w:i/>
                <w:iCs/>
                <w:kern w:val="0"/>
                <w:sz w:val="21"/>
                <w:szCs w:val="21"/>
              </w:rPr>
              <w:t xml:space="preserve">, les acteurs établis </w:t>
            </w:r>
            <w:r w:rsidR="008D45EE">
              <w:rPr>
                <w:rFonts w:asciiTheme="majorHAnsi" w:hAnsiTheme="majorHAnsi" w:cstheme="majorHAnsi"/>
                <w:i/>
                <w:iCs/>
                <w:kern w:val="0"/>
                <w:sz w:val="21"/>
                <w:szCs w:val="21"/>
              </w:rPr>
              <w:t>s’appuient sur</w:t>
            </w:r>
            <w:r w:rsidR="00757C23" w:rsidRPr="00757C23">
              <w:rPr>
                <w:rFonts w:asciiTheme="majorHAnsi" w:hAnsiTheme="majorHAnsi" w:cstheme="majorHAnsi"/>
                <w:i/>
                <w:iCs/>
                <w:kern w:val="0"/>
                <w:sz w:val="21"/>
                <w:szCs w:val="21"/>
              </w:rPr>
              <w:t xml:space="preserve"> un modèle </w:t>
            </w:r>
            <w:r w:rsidR="008D45EE">
              <w:rPr>
                <w:rFonts w:asciiTheme="majorHAnsi" w:hAnsiTheme="majorHAnsi" w:cstheme="majorHAnsi"/>
                <w:i/>
                <w:iCs/>
                <w:kern w:val="0"/>
                <w:sz w:val="21"/>
                <w:szCs w:val="21"/>
              </w:rPr>
              <w:t>économique</w:t>
            </w:r>
            <w:r w:rsidR="00757C23" w:rsidRPr="00757C23">
              <w:rPr>
                <w:rFonts w:asciiTheme="majorHAnsi" w:hAnsiTheme="majorHAnsi" w:cstheme="majorHAnsi"/>
                <w:i/>
                <w:iCs/>
                <w:kern w:val="0"/>
                <w:sz w:val="21"/>
                <w:szCs w:val="21"/>
              </w:rPr>
              <w:t xml:space="preserve"> robuste</w:t>
            </w:r>
            <w:r w:rsidR="008D45EE">
              <w:rPr>
                <w:rFonts w:asciiTheme="majorHAnsi" w:hAnsiTheme="majorHAnsi" w:cstheme="majorHAnsi"/>
                <w:i/>
                <w:iCs/>
                <w:kern w:val="0"/>
                <w:sz w:val="21"/>
                <w:szCs w:val="21"/>
              </w:rPr>
              <w:t xml:space="preserve"> et</w:t>
            </w:r>
            <w:r w:rsidR="00757C23" w:rsidRPr="00757C23">
              <w:rPr>
                <w:rFonts w:asciiTheme="majorHAnsi" w:hAnsiTheme="majorHAnsi" w:cstheme="majorHAnsi"/>
                <w:i/>
                <w:iCs/>
                <w:kern w:val="0"/>
                <w:sz w:val="21"/>
                <w:szCs w:val="21"/>
              </w:rPr>
              <w:t xml:space="preserve"> une forte rentabilité </w:t>
            </w:r>
            <w:r w:rsidR="008D45EE">
              <w:rPr>
                <w:rFonts w:asciiTheme="majorHAnsi" w:hAnsiTheme="majorHAnsi" w:cstheme="majorHAnsi"/>
                <w:i/>
                <w:iCs/>
                <w:kern w:val="0"/>
                <w:sz w:val="21"/>
                <w:szCs w:val="21"/>
              </w:rPr>
              <w:t>pour investir et accélérer leur transformation</w:t>
            </w:r>
            <w:r w:rsidR="00757C23" w:rsidRPr="00757C23">
              <w:rPr>
                <w:rFonts w:asciiTheme="majorHAnsi" w:hAnsiTheme="majorHAnsi" w:cstheme="majorHAnsi"/>
                <w:i/>
                <w:iCs/>
                <w:kern w:val="0"/>
                <w:sz w:val="21"/>
                <w:szCs w:val="21"/>
              </w:rPr>
              <w:t xml:space="preserve">. Cette combinaison entre stabilité et audace fait la force du logiciel français. Dans un environnement mondial où la compétition technologique s’intensifie, notre écosystème conserve un atout majeur : sa capacité à </w:t>
            </w:r>
            <w:r w:rsidR="008D45EE">
              <w:rPr>
                <w:rFonts w:asciiTheme="majorHAnsi" w:hAnsiTheme="majorHAnsi" w:cstheme="majorHAnsi"/>
                <w:i/>
                <w:iCs/>
                <w:kern w:val="0"/>
                <w:sz w:val="21"/>
                <w:szCs w:val="21"/>
              </w:rPr>
              <w:t>innover dans un</w:t>
            </w:r>
            <w:r w:rsidR="00441917">
              <w:rPr>
                <w:rFonts w:asciiTheme="majorHAnsi" w:hAnsiTheme="majorHAnsi" w:cstheme="majorHAnsi"/>
                <w:i/>
                <w:iCs/>
                <w:kern w:val="0"/>
                <w:sz w:val="21"/>
                <w:szCs w:val="21"/>
              </w:rPr>
              <w:t xml:space="preserve"> contexte où </w:t>
            </w:r>
            <w:r w:rsidR="004167FA">
              <w:rPr>
                <w:rFonts w:asciiTheme="majorHAnsi" w:hAnsiTheme="majorHAnsi" w:cstheme="majorHAnsi"/>
                <w:i/>
                <w:iCs/>
                <w:kern w:val="0"/>
                <w:sz w:val="21"/>
                <w:szCs w:val="21"/>
              </w:rPr>
              <w:t>les technologies et les modèles évoluent rapidement</w:t>
            </w:r>
            <w:r w:rsidR="00757C23">
              <w:rPr>
                <w:rFonts w:asciiTheme="majorHAnsi" w:hAnsiTheme="majorHAnsi" w:cstheme="majorHAnsi"/>
                <w:i/>
                <w:iCs/>
                <w:kern w:val="0"/>
                <w:sz w:val="21"/>
                <w:szCs w:val="21"/>
              </w:rPr>
              <w:t xml:space="preserve"> </w:t>
            </w:r>
            <w:r w:rsidR="0027550B" w:rsidRPr="00DF6338">
              <w:rPr>
                <w:rFonts w:asciiTheme="majorHAnsi" w:hAnsiTheme="majorHAnsi" w:cstheme="majorHAnsi"/>
                <w:i/>
                <w:iCs/>
                <w:kern w:val="0"/>
                <w:sz w:val="21"/>
                <w:szCs w:val="21"/>
              </w:rPr>
              <w:t xml:space="preserve">» </w:t>
            </w:r>
            <w:r w:rsidR="00680590" w:rsidRPr="00484B2C">
              <w:rPr>
                <w:rFonts w:asciiTheme="majorHAnsi" w:hAnsiTheme="majorHAnsi" w:cstheme="majorHAnsi"/>
                <w:kern w:val="0"/>
                <w:sz w:val="21"/>
                <w:szCs w:val="21"/>
              </w:rPr>
              <w:t>affirme</w:t>
            </w:r>
            <w:r w:rsidR="0027550B" w:rsidRPr="00484B2C">
              <w:rPr>
                <w:rFonts w:asciiTheme="majorHAnsi" w:hAnsiTheme="majorHAnsi" w:cstheme="majorHAnsi"/>
                <w:kern w:val="0"/>
                <w:sz w:val="21"/>
                <w:szCs w:val="21"/>
              </w:rPr>
              <w:t xml:space="preserve"> </w:t>
            </w:r>
            <w:r w:rsidR="0027550B" w:rsidRPr="00484B2C">
              <w:rPr>
                <w:rFonts w:asciiTheme="majorHAnsi" w:hAnsiTheme="majorHAnsi" w:cstheme="majorHAnsi"/>
                <w:b/>
                <w:bCs/>
                <w:kern w:val="0"/>
                <w:sz w:val="21"/>
                <w:szCs w:val="21"/>
              </w:rPr>
              <w:t xml:space="preserve">Jean-Christophe Pernet, </w:t>
            </w:r>
            <w:r w:rsidR="00E6527D">
              <w:rPr>
                <w:rFonts w:asciiTheme="majorHAnsi" w:hAnsiTheme="majorHAnsi" w:cstheme="majorHAnsi"/>
                <w:b/>
                <w:bCs/>
                <w:kern w:val="0"/>
                <w:sz w:val="21"/>
                <w:szCs w:val="21"/>
              </w:rPr>
              <w:t>A</w:t>
            </w:r>
            <w:r w:rsidR="0027550B" w:rsidRPr="00484B2C">
              <w:rPr>
                <w:rFonts w:asciiTheme="majorHAnsi" w:hAnsiTheme="majorHAnsi" w:cstheme="majorHAnsi"/>
                <w:b/>
                <w:bCs/>
                <w:kern w:val="0"/>
                <w:sz w:val="21"/>
                <w:szCs w:val="21"/>
              </w:rPr>
              <w:t>ssocié EY</w:t>
            </w:r>
            <w:r w:rsidR="000B431D" w:rsidRPr="00484B2C">
              <w:rPr>
                <w:rFonts w:asciiTheme="majorHAnsi" w:hAnsiTheme="majorHAnsi" w:cstheme="majorHAnsi"/>
                <w:kern w:val="0"/>
                <w:sz w:val="21"/>
                <w:szCs w:val="21"/>
              </w:rPr>
              <w:t>.</w:t>
            </w:r>
          </w:p>
          <w:bookmarkEnd w:id="0"/>
          <w:p w14:paraId="43FE738F" w14:textId="77777777" w:rsidR="000B431D" w:rsidRPr="000601DB" w:rsidRDefault="000B431D" w:rsidP="00795EF1">
            <w:pPr>
              <w:rPr>
                <w:rFonts w:asciiTheme="majorHAnsi" w:hAnsiTheme="majorHAnsi" w:cstheme="majorHAnsi"/>
                <w:color w:val="1F3864"/>
                <w:kern w:val="0"/>
                <w:sz w:val="21"/>
                <w:szCs w:val="21"/>
              </w:rPr>
            </w:pPr>
          </w:p>
          <w:p w14:paraId="215ED846" w14:textId="3C86AD35" w:rsidR="000F0112" w:rsidRDefault="00C358C4" w:rsidP="000F0112">
            <w:pPr>
              <w:jc w:val="center"/>
              <w:rPr>
                <w:rFonts w:asciiTheme="majorHAnsi" w:hAnsiTheme="majorHAnsi" w:cstheme="majorHAnsi"/>
                <w:b/>
                <w:bCs/>
                <w:color w:val="1F3864"/>
                <w:kern w:val="0"/>
                <w:sz w:val="32"/>
                <w:szCs w:val="32"/>
              </w:rPr>
            </w:pPr>
            <w:r w:rsidRPr="00ED10CB">
              <w:rPr>
                <w:rFonts w:asciiTheme="majorHAnsi" w:hAnsiTheme="majorHAnsi" w:cstheme="majorHAnsi"/>
                <w:b/>
                <w:bCs/>
                <w:color w:val="1F3864"/>
                <w:kern w:val="0"/>
                <w:sz w:val="32"/>
                <w:szCs w:val="32"/>
              </w:rPr>
              <w:t>Lauréats 202</w:t>
            </w:r>
            <w:r w:rsidR="008F0C1F">
              <w:rPr>
                <w:rFonts w:asciiTheme="majorHAnsi" w:hAnsiTheme="majorHAnsi" w:cstheme="majorHAnsi"/>
                <w:b/>
                <w:bCs/>
                <w:color w:val="1F3864"/>
                <w:kern w:val="0"/>
                <w:sz w:val="32"/>
                <w:szCs w:val="32"/>
              </w:rPr>
              <w:t>5</w:t>
            </w:r>
            <w:r w:rsidR="00ED10CB" w:rsidRPr="00ED10CB">
              <w:rPr>
                <w:rFonts w:asciiTheme="majorHAnsi" w:hAnsiTheme="majorHAnsi" w:cstheme="majorHAnsi"/>
                <w:b/>
                <w:bCs/>
                <w:color w:val="1F3864"/>
                <w:kern w:val="0"/>
                <w:sz w:val="32"/>
                <w:szCs w:val="32"/>
              </w:rPr>
              <w:t xml:space="preserve"> du Top 250</w:t>
            </w:r>
          </w:p>
          <w:p w14:paraId="0B2FEF66" w14:textId="77777777" w:rsidR="000F0112" w:rsidRDefault="000F0112" w:rsidP="000F0112">
            <w:pPr>
              <w:rPr>
                <w:rFonts w:asciiTheme="majorHAnsi" w:hAnsiTheme="majorHAnsi" w:cstheme="majorHAnsi"/>
                <w:color w:val="1F3864"/>
                <w:kern w:val="0"/>
                <w:sz w:val="21"/>
                <w:szCs w:val="21"/>
              </w:rPr>
            </w:pPr>
          </w:p>
          <w:p w14:paraId="48FFCABC" w14:textId="3C92D251" w:rsidR="000F0112" w:rsidRDefault="000F0112" w:rsidP="000F0112">
            <w:pPr>
              <w:rPr>
                <w:rFonts w:asciiTheme="majorHAnsi" w:hAnsiTheme="majorHAnsi" w:cstheme="majorHAnsi"/>
                <w:kern w:val="0"/>
                <w:sz w:val="21"/>
                <w:szCs w:val="21"/>
              </w:rPr>
            </w:pPr>
            <w:r>
              <w:rPr>
                <w:rFonts w:asciiTheme="majorHAnsi" w:hAnsiTheme="majorHAnsi" w:cstheme="majorHAnsi"/>
                <w:kern w:val="0"/>
                <w:sz w:val="21"/>
                <w:szCs w:val="21"/>
              </w:rPr>
              <w:t xml:space="preserve">Animée par </w:t>
            </w:r>
            <w:r w:rsidR="00243587">
              <w:rPr>
                <w:rFonts w:asciiTheme="majorHAnsi" w:hAnsiTheme="majorHAnsi" w:cstheme="majorHAnsi"/>
                <w:b/>
                <w:bCs/>
                <w:kern w:val="0"/>
                <w:sz w:val="21"/>
                <w:szCs w:val="21"/>
              </w:rPr>
              <w:t>Marion Moreau</w:t>
            </w:r>
            <w:r w:rsidR="008F0C1F" w:rsidRPr="00F47DEE">
              <w:rPr>
                <w:rFonts w:asciiTheme="majorHAnsi" w:hAnsiTheme="majorHAnsi" w:cstheme="majorHAnsi"/>
                <w:kern w:val="0"/>
                <w:sz w:val="21"/>
                <w:szCs w:val="21"/>
              </w:rPr>
              <w:t xml:space="preserve">, </w:t>
            </w:r>
            <w:r>
              <w:rPr>
                <w:rFonts w:asciiTheme="majorHAnsi" w:hAnsiTheme="majorHAnsi" w:cstheme="majorHAnsi"/>
                <w:kern w:val="0"/>
                <w:sz w:val="21"/>
                <w:szCs w:val="21"/>
              </w:rPr>
              <w:t xml:space="preserve">la cérémonie a récompensé </w:t>
            </w:r>
            <w:r w:rsidR="00243587">
              <w:rPr>
                <w:rFonts w:asciiTheme="majorHAnsi" w:hAnsiTheme="majorHAnsi" w:cstheme="majorHAnsi"/>
                <w:kern w:val="0"/>
                <w:sz w:val="21"/>
                <w:szCs w:val="21"/>
              </w:rPr>
              <w:t>5</w:t>
            </w:r>
            <w:r>
              <w:rPr>
                <w:rFonts w:asciiTheme="majorHAnsi" w:hAnsiTheme="majorHAnsi" w:cstheme="majorHAnsi"/>
                <w:kern w:val="0"/>
                <w:sz w:val="21"/>
                <w:szCs w:val="21"/>
              </w:rPr>
              <w:t xml:space="preserve"> éditeurs : </w:t>
            </w:r>
          </w:p>
          <w:p w14:paraId="18116E5C" w14:textId="77777777" w:rsidR="000F0112" w:rsidRDefault="000F0112" w:rsidP="000F0112">
            <w:pPr>
              <w:rPr>
                <w:rFonts w:asciiTheme="majorHAnsi" w:hAnsiTheme="majorHAnsi" w:cstheme="majorHAnsi"/>
                <w:kern w:val="0"/>
                <w:sz w:val="21"/>
                <w:szCs w:val="21"/>
              </w:rPr>
            </w:pPr>
          </w:p>
          <w:p w14:paraId="3F2F4942" w14:textId="3EC1867B" w:rsidR="00C51630" w:rsidRDefault="00250769" w:rsidP="00C6260D">
            <w:pPr>
              <w:pStyle w:val="Paragraphedeliste"/>
              <w:numPr>
                <w:ilvl w:val="0"/>
                <w:numId w:val="2"/>
              </w:numPr>
              <w:spacing w:line="256" w:lineRule="auto"/>
              <w:rPr>
                <w:rFonts w:asciiTheme="majorHAnsi" w:hAnsiTheme="majorHAnsi" w:cstheme="majorHAnsi"/>
                <w:kern w:val="0"/>
                <w:sz w:val="21"/>
                <w:szCs w:val="21"/>
              </w:rPr>
            </w:pPr>
            <w:r>
              <w:rPr>
                <w:rFonts w:asciiTheme="majorHAnsi" w:hAnsiTheme="majorHAnsi" w:cstheme="majorHAnsi"/>
                <w:b/>
                <w:bCs/>
                <w:kern w:val="0"/>
                <w:sz w:val="21"/>
                <w:szCs w:val="21"/>
              </w:rPr>
              <w:t>Trophée 2025 Innovation</w:t>
            </w:r>
            <w:r>
              <w:rPr>
                <w:rFonts w:asciiTheme="majorHAnsi" w:hAnsiTheme="majorHAnsi" w:cstheme="majorHAnsi"/>
                <w:kern w:val="0"/>
                <w:sz w:val="21"/>
                <w:szCs w:val="21"/>
              </w:rPr>
              <w:t xml:space="preserve">, décerné à la société </w:t>
            </w:r>
            <w:proofErr w:type="spellStart"/>
            <w:r w:rsidR="00243587">
              <w:rPr>
                <w:rFonts w:asciiTheme="majorHAnsi" w:hAnsiTheme="majorHAnsi" w:cstheme="majorHAnsi"/>
                <w:b/>
                <w:bCs/>
                <w:kern w:val="0"/>
                <w:sz w:val="21"/>
                <w:szCs w:val="21"/>
              </w:rPr>
              <w:t>Lucca</w:t>
            </w:r>
            <w:proofErr w:type="spellEnd"/>
            <w:r w:rsidRPr="00F47DEE">
              <w:rPr>
                <w:rFonts w:asciiTheme="majorHAnsi" w:hAnsiTheme="majorHAnsi" w:cstheme="majorHAnsi"/>
                <w:kern w:val="0"/>
                <w:sz w:val="21"/>
                <w:szCs w:val="21"/>
              </w:rPr>
              <w:t xml:space="preserve">, </w:t>
            </w:r>
            <w:r w:rsidR="00BD16CA" w:rsidRPr="00BD16CA">
              <w:rPr>
                <w:rFonts w:asciiTheme="majorHAnsi" w:hAnsiTheme="majorHAnsi" w:cstheme="majorHAnsi"/>
                <w:kern w:val="0"/>
                <w:sz w:val="21"/>
                <w:szCs w:val="21"/>
              </w:rPr>
              <w:t xml:space="preserve">plateforme logicielle </w:t>
            </w:r>
            <w:r w:rsidR="004147EA">
              <w:rPr>
                <w:rFonts w:asciiTheme="majorHAnsi" w:hAnsiTheme="majorHAnsi" w:cstheme="majorHAnsi"/>
                <w:kern w:val="0"/>
                <w:sz w:val="21"/>
                <w:szCs w:val="21"/>
              </w:rPr>
              <w:t xml:space="preserve">de gestion des ressources </w:t>
            </w:r>
            <w:r w:rsidR="00C51630">
              <w:rPr>
                <w:rFonts w:asciiTheme="majorHAnsi" w:hAnsiTheme="majorHAnsi" w:cstheme="majorHAnsi"/>
                <w:kern w:val="0"/>
                <w:sz w:val="21"/>
                <w:szCs w:val="21"/>
              </w:rPr>
              <w:t>humaines</w:t>
            </w:r>
            <w:r w:rsidR="00F05E7D" w:rsidRPr="001A10CA">
              <w:rPr>
                <w:rFonts w:asciiTheme="majorHAnsi" w:hAnsiTheme="majorHAnsi" w:cstheme="majorHAnsi"/>
                <w:kern w:val="0"/>
                <w:sz w:val="21"/>
                <w:szCs w:val="21"/>
              </w:rPr>
              <w:t xml:space="preserve"> –</w:t>
            </w:r>
            <w:r w:rsidR="00C51630" w:rsidRPr="00C51630">
              <w:rPr>
                <w:rFonts w:asciiTheme="majorHAnsi" w:hAnsiTheme="majorHAnsi" w:cstheme="majorHAnsi"/>
                <w:kern w:val="0"/>
                <w:sz w:val="21"/>
                <w:szCs w:val="21"/>
              </w:rPr>
              <w:t>talents, temps &amp; activités, paie, dépenses professionnelles…</w:t>
            </w:r>
          </w:p>
          <w:p w14:paraId="670AA97D" w14:textId="03B18557" w:rsidR="00250769" w:rsidRPr="00CC3101" w:rsidRDefault="00250769" w:rsidP="00CC3101">
            <w:pPr>
              <w:pStyle w:val="Paragraphedeliste"/>
              <w:numPr>
                <w:ilvl w:val="0"/>
                <w:numId w:val="2"/>
              </w:numPr>
              <w:spacing w:line="256" w:lineRule="auto"/>
              <w:rPr>
                <w:rFonts w:asciiTheme="majorHAnsi" w:hAnsiTheme="majorHAnsi" w:cstheme="majorHAnsi"/>
                <w:kern w:val="0"/>
                <w:sz w:val="21"/>
                <w:szCs w:val="21"/>
              </w:rPr>
            </w:pPr>
            <w:r w:rsidRPr="001A10CA">
              <w:rPr>
                <w:rFonts w:asciiTheme="majorHAnsi" w:hAnsiTheme="majorHAnsi" w:cstheme="majorHAnsi"/>
                <w:b/>
                <w:bCs/>
                <w:kern w:val="0"/>
                <w:sz w:val="21"/>
                <w:szCs w:val="21"/>
              </w:rPr>
              <w:t>Trophée 2025 International</w:t>
            </w:r>
            <w:r w:rsidRPr="001A10CA">
              <w:rPr>
                <w:rFonts w:asciiTheme="majorHAnsi" w:hAnsiTheme="majorHAnsi" w:cstheme="majorHAnsi"/>
                <w:kern w:val="0"/>
                <w:sz w:val="21"/>
                <w:szCs w:val="21"/>
              </w:rPr>
              <w:t xml:space="preserve">, décerné à la société </w:t>
            </w:r>
            <w:proofErr w:type="spellStart"/>
            <w:r w:rsidR="00243587" w:rsidRPr="001A10CA">
              <w:rPr>
                <w:rFonts w:asciiTheme="majorHAnsi" w:hAnsiTheme="majorHAnsi" w:cstheme="majorHAnsi"/>
                <w:b/>
                <w:bCs/>
                <w:kern w:val="0"/>
                <w:sz w:val="21"/>
                <w:szCs w:val="21"/>
              </w:rPr>
              <w:t>Planisware</w:t>
            </w:r>
            <w:proofErr w:type="spellEnd"/>
            <w:r w:rsidR="00125BF2">
              <w:rPr>
                <w:rFonts w:asciiTheme="majorHAnsi" w:hAnsiTheme="majorHAnsi" w:cstheme="majorHAnsi"/>
                <w:kern w:val="0"/>
                <w:sz w:val="21"/>
                <w:szCs w:val="21"/>
              </w:rPr>
              <w:t>, plateformes SaaS</w:t>
            </w:r>
            <w:r w:rsidR="00C6260D" w:rsidRPr="00C6260D">
              <w:rPr>
                <w:rFonts w:asciiTheme="majorHAnsi" w:hAnsiTheme="majorHAnsi" w:cstheme="majorHAnsi"/>
                <w:kern w:val="0"/>
                <w:sz w:val="21"/>
                <w:szCs w:val="21"/>
              </w:rPr>
              <w:t xml:space="preserve"> </w:t>
            </w:r>
            <w:proofErr w:type="spellStart"/>
            <w:r w:rsidR="00C6260D" w:rsidRPr="00C6260D">
              <w:rPr>
                <w:rFonts w:asciiTheme="majorHAnsi" w:hAnsiTheme="majorHAnsi" w:cstheme="majorHAnsi"/>
                <w:kern w:val="0"/>
                <w:sz w:val="21"/>
                <w:szCs w:val="21"/>
              </w:rPr>
              <w:t>BtoB</w:t>
            </w:r>
            <w:proofErr w:type="spellEnd"/>
            <w:r w:rsidR="00C6260D" w:rsidRPr="00C6260D">
              <w:rPr>
                <w:rFonts w:asciiTheme="majorHAnsi" w:hAnsiTheme="majorHAnsi" w:cstheme="majorHAnsi"/>
                <w:kern w:val="0"/>
                <w:sz w:val="21"/>
                <w:szCs w:val="21"/>
              </w:rPr>
              <w:t xml:space="preserve"> de</w:t>
            </w:r>
            <w:r w:rsidR="00CC3101">
              <w:rPr>
                <w:rFonts w:asciiTheme="majorHAnsi" w:hAnsiTheme="majorHAnsi" w:cstheme="majorHAnsi"/>
                <w:kern w:val="0"/>
                <w:sz w:val="21"/>
                <w:szCs w:val="21"/>
              </w:rPr>
              <w:t xml:space="preserve"> </w:t>
            </w:r>
            <w:r w:rsidR="00C6260D" w:rsidRPr="00CC3101">
              <w:rPr>
                <w:rFonts w:asciiTheme="majorHAnsi" w:hAnsiTheme="majorHAnsi" w:cstheme="majorHAnsi"/>
                <w:kern w:val="0"/>
                <w:sz w:val="21"/>
                <w:szCs w:val="21"/>
              </w:rPr>
              <w:t xml:space="preserve">gestion de </w:t>
            </w:r>
            <w:r w:rsidR="00657394" w:rsidRPr="00CC3101">
              <w:rPr>
                <w:rFonts w:asciiTheme="majorHAnsi" w:hAnsiTheme="majorHAnsi" w:cstheme="majorHAnsi"/>
                <w:kern w:val="0"/>
                <w:sz w:val="21"/>
                <w:szCs w:val="21"/>
              </w:rPr>
              <w:t xml:space="preserve">portefeuilles de </w:t>
            </w:r>
            <w:r w:rsidR="00701C02" w:rsidRPr="00CC3101">
              <w:rPr>
                <w:rFonts w:asciiTheme="majorHAnsi" w:hAnsiTheme="majorHAnsi" w:cstheme="majorHAnsi"/>
                <w:kern w:val="0"/>
                <w:sz w:val="21"/>
                <w:szCs w:val="21"/>
              </w:rPr>
              <w:t>projets, portefeuilles de projets, programmes et produits.</w:t>
            </w:r>
          </w:p>
          <w:p w14:paraId="39264916" w14:textId="00D84CF9" w:rsidR="00250769" w:rsidRPr="001A10CA" w:rsidRDefault="00250769" w:rsidP="00250769">
            <w:pPr>
              <w:pStyle w:val="Paragraphedeliste"/>
              <w:numPr>
                <w:ilvl w:val="0"/>
                <w:numId w:val="2"/>
              </w:numPr>
              <w:spacing w:line="256" w:lineRule="auto"/>
              <w:rPr>
                <w:rFonts w:asciiTheme="majorHAnsi" w:hAnsiTheme="majorHAnsi" w:cstheme="majorHAnsi"/>
                <w:color w:val="1F3864"/>
                <w:kern w:val="0"/>
                <w:sz w:val="21"/>
                <w:szCs w:val="21"/>
              </w:rPr>
            </w:pPr>
            <w:r>
              <w:rPr>
                <w:rFonts w:asciiTheme="majorHAnsi" w:hAnsiTheme="majorHAnsi" w:cstheme="majorHAnsi"/>
                <w:b/>
                <w:bCs/>
                <w:kern w:val="0"/>
                <w:sz w:val="21"/>
                <w:szCs w:val="21"/>
              </w:rPr>
              <w:t>Trophée 2025 Prix du Jury</w:t>
            </w:r>
            <w:r>
              <w:rPr>
                <w:rFonts w:asciiTheme="majorHAnsi" w:hAnsiTheme="majorHAnsi" w:cstheme="majorHAnsi"/>
                <w:kern w:val="0"/>
                <w:sz w:val="21"/>
                <w:szCs w:val="21"/>
              </w:rPr>
              <w:t>, décerné à la société</w:t>
            </w:r>
            <w:r w:rsidR="00E41ED5">
              <w:rPr>
                <w:rFonts w:asciiTheme="majorHAnsi" w:hAnsiTheme="majorHAnsi" w:cstheme="majorHAnsi"/>
                <w:kern w:val="0"/>
                <w:sz w:val="21"/>
                <w:szCs w:val="21"/>
              </w:rPr>
              <w:t xml:space="preserve"> </w:t>
            </w:r>
            <w:r w:rsidR="00E41ED5" w:rsidRPr="001A10CA">
              <w:rPr>
                <w:rFonts w:asciiTheme="majorHAnsi" w:hAnsiTheme="majorHAnsi" w:cstheme="majorHAnsi"/>
                <w:b/>
                <w:bCs/>
                <w:kern w:val="0"/>
                <w:sz w:val="21"/>
                <w:szCs w:val="21"/>
              </w:rPr>
              <w:t>Groupe</w:t>
            </w:r>
            <w:r w:rsidRPr="001A10CA">
              <w:rPr>
                <w:rFonts w:asciiTheme="majorHAnsi" w:hAnsiTheme="majorHAnsi" w:cstheme="majorHAnsi"/>
                <w:b/>
                <w:bCs/>
                <w:kern w:val="0"/>
                <w:sz w:val="21"/>
                <w:szCs w:val="21"/>
              </w:rPr>
              <w:t xml:space="preserve"> </w:t>
            </w:r>
            <w:proofErr w:type="spellStart"/>
            <w:r w:rsidR="007F3B56" w:rsidRPr="00E41ED5">
              <w:rPr>
                <w:rFonts w:asciiTheme="majorHAnsi" w:hAnsiTheme="majorHAnsi" w:cstheme="majorHAnsi"/>
                <w:b/>
                <w:bCs/>
                <w:kern w:val="0"/>
                <w:sz w:val="21"/>
                <w:szCs w:val="21"/>
              </w:rPr>
              <w:t>Isagri</w:t>
            </w:r>
            <w:proofErr w:type="spellEnd"/>
            <w:r w:rsidR="007F3B56" w:rsidRPr="00F47DEE">
              <w:rPr>
                <w:rFonts w:asciiTheme="majorHAnsi" w:hAnsiTheme="majorHAnsi" w:cstheme="majorHAnsi"/>
                <w:kern w:val="0"/>
                <w:sz w:val="21"/>
                <w:szCs w:val="21"/>
              </w:rPr>
              <w:t>,</w:t>
            </w:r>
            <w:r>
              <w:rPr>
                <w:rFonts w:asciiTheme="majorHAnsi" w:hAnsiTheme="majorHAnsi" w:cstheme="majorHAnsi"/>
                <w:kern w:val="0"/>
                <w:sz w:val="21"/>
                <w:szCs w:val="21"/>
              </w:rPr>
              <w:t xml:space="preserve"> éditeur </w:t>
            </w:r>
            <w:r w:rsidR="00363C0E">
              <w:rPr>
                <w:rFonts w:asciiTheme="majorHAnsi" w:hAnsiTheme="majorHAnsi" w:cstheme="majorHAnsi"/>
                <w:kern w:val="0"/>
                <w:sz w:val="21"/>
                <w:szCs w:val="21"/>
              </w:rPr>
              <w:t xml:space="preserve">de logiciels au service </w:t>
            </w:r>
            <w:r w:rsidR="004C0DEE">
              <w:rPr>
                <w:rFonts w:asciiTheme="majorHAnsi" w:hAnsiTheme="majorHAnsi" w:cstheme="majorHAnsi"/>
                <w:kern w:val="0"/>
                <w:sz w:val="21"/>
                <w:szCs w:val="21"/>
              </w:rPr>
              <w:t xml:space="preserve">des </w:t>
            </w:r>
            <w:r w:rsidR="004C0DEE" w:rsidRPr="004C0DEE">
              <w:rPr>
                <w:rFonts w:asciiTheme="majorHAnsi" w:hAnsiTheme="majorHAnsi" w:cstheme="majorHAnsi"/>
                <w:kern w:val="0"/>
                <w:sz w:val="21"/>
                <w:szCs w:val="21"/>
              </w:rPr>
              <w:t>exploitations agricoles et de la profession comptable.</w:t>
            </w:r>
          </w:p>
          <w:p w14:paraId="6FC36DA6" w14:textId="166DE04D" w:rsidR="000F0112" w:rsidRPr="001A10CA" w:rsidRDefault="000F0112" w:rsidP="002F7B2C">
            <w:pPr>
              <w:pStyle w:val="Paragraphedeliste"/>
              <w:numPr>
                <w:ilvl w:val="0"/>
                <w:numId w:val="2"/>
              </w:numPr>
              <w:spacing w:line="256" w:lineRule="auto"/>
              <w:rPr>
                <w:rFonts w:asciiTheme="majorHAnsi" w:hAnsiTheme="majorHAnsi" w:cstheme="majorHAnsi"/>
                <w:kern w:val="0"/>
                <w:sz w:val="21"/>
                <w:szCs w:val="21"/>
              </w:rPr>
            </w:pPr>
            <w:r>
              <w:rPr>
                <w:rFonts w:asciiTheme="majorHAnsi" w:hAnsiTheme="majorHAnsi" w:cstheme="majorHAnsi"/>
                <w:b/>
                <w:bCs/>
                <w:kern w:val="0"/>
                <w:sz w:val="21"/>
                <w:szCs w:val="21"/>
              </w:rPr>
              <w:t>Trophée 202</w:t>
            </w:r>
            <w:r w:rsidR="00584951">
              <w:rPr>
                <w:rFonts w:asciiTheme="majorHAnsi" w:hAnsiTheme="majorHAnsi" w:cstheme="majorHAnsi"/>
                <w:b/>
                <w:bCs/>
                <w:kern w:val="0"/>
                <w:sz w:val="21"/>
                <w:szCs w:val="21"/>
              </w:rPr>
              <w:t>5</w:t>
            </w:r>
            <w:r>
              <w:rPr>
                <w:rFonts w:asciiTheme="majorHAnsi" w:hAnsiTheme="majorHAnsi" w:cstheme="majorHAnsi"/>
                <w:b/>
                <w:bCs/>
                <w:kern w:val="0"/>
                <w:sz w:val="21"/>
                <w:szCs w:val="21"/>
              </w:rPr>
              <w:t xml:space="preserve"> </w:t>
            </w:r>
            <w:r w:rsidR="00B4793B">
              <w:rPr>
                <w:rFonts w:asciiTheme="majorHAnsi" w:hAnsiTheme="majorHAnsi" w:cstheme="majorHAnsi"/>
                <w:b/>
                <w:bCs/>
                <w:kern w:val="0"/>
                <w:sz w:val="21"/>
                <w:szCs w:val="21"/>
              </w:rPr>
              <w:t xml:space="preserve">Croissance </w:t>
            </w:r>
            <w:r w:rsidR="00B725EB">
              <w:rPr>
                <w:rFonts w:asciiTheme="majorHAnsi" w:hAnsiTheme="majorHAnsi" w:cstheme="majorHAnsi"/>
                <w:b/>
                <w:bCs/>
                <w:kern w:val="0"/>
                <w:sz w:val="21"/>
                <w:szCs w:val="21"/>
              </w:rPr>
              <w:t>externe</w:t>
            </w:r>
            <w:r>
              <w:rPr>
                <w:rFonts w:asciiTheme="majorHAnsi" w:hAnsiTheme="majorHAnsi" w:cstheme="majorHAnsi"/>
                <w:kern w:val="0"/>
                <w:sz w:val="21"/>
                <w:szCs w:val="21"/>
              </w:rPr>
              <w:t xml:space="preserve">, décerné à la société </w:t>
            </w:r>
            <w:r w:rsidR="00243587">
              <w:rPr>
                <w:rFonts w:asciiTheme="majorHAnsi" w:hAnsiTheme="majorHAnsi" w:cstheme="majorHAnsi"/>
                <w:b/>
                <w:bCs/>
                <w:kern w:val="0"/>
                <w:sz w:val="21"/>
                <w:szCs w:val="21"/>
              </w:rPr>
              <w:t>Orisha</w:t>
            </w:r>
            <w:r w:rsidR="00CD5E0A" w:rsidRPr="00F47DEE">
              <w:rPr>
                <w:rFonts w:asciiTheme="majorHAnsi" w:hAnsiTheme="majorHAnsi" w:cstheme="majorHAnsi"/>
                <w:kern w:val="0"/>
                <w:sz w:val="21"/>
                <w:szCs w:val="21"/>
              </w:rPr>
              <w:t xml:space="preserve">, éditeur </w:t>
            </w:r>
            <w:r w:rsidR="00C652A8">
              <w:rPr>
                <w:rFonts w:asciiTheme="majorHAnsi" w:hAnsiTheme="majorHAnsi" w:cstheme="majorHAnsi"/>
                <w:kern w:val="0"/>
                <w:sz w:val="21"/>
                <w:szCs w:val="21"/>
              </w:rPr>
              <w:t xml:space="preserve">de logiciels </w:t>
            </w:r>
            <w:r w:rsidR="00234D3A">
              <w:rPr>
                <w:rFonts w:asciiTheme="majorHAnsi" w:hAnsiTheme="majorHAnsi" w:cstheme="majorHAnsi"/>
                <w:kern w:val="0"/>
                <w:sz w:val="21"/>
                <w:szCs w:val="21"/>
              </w:rPr>
              <w:t>de gestion</w:t>
            </w:r>
            <w:r w:rsidR="0040722F">
              <w:rPr>
                <w:rFonts w:asciiTheme="majorHAnsi" w:hAnsiTheme="majorHAnsi" w:cstheme="majorHAnsi"/>
                <w:kern w:val="0"/>
                <w:sz w:val="21"/>
                <w:szCs w:val="21"/>
              </w:rPr>
              <w:t xml:space="preserve"> </w:t>
            </w:r>
            <w:r w:rsidR="002C792E">
              <w:rPr>
                <w:rFonts w:asciiTheme="majorHAnsi" w:hAnsiTheme="majorHAnsi" w:cstheme="majorHAnsi"/>
                <w:kern w:val="0"/>
                <w:sz w:val="21"/>
                <w:szCs w:val="21"/>
              </w:rPr>
              <w:t>pour les professionnels de la santé, de la construction, de l’immobilier et de la distribution.</w:t>
            </w:r>
          </w:p>
          <w:p w14:paraId="4E4C6E7B" w14:textId="6C8ED822" w:rsidR="00250769" w:rsidRPr="000C4A0F" w:rsidRDefault="00250769" w:rsidP="00250769">
            <w:pPr>
              <w:pStyle w:val="Paragraphedeliste"/>
              <w:numPr>
                <w:ilvl w:val="0"/>
                <w:numId w:val="2"/>
              </w:numPr>
              <w:spacing w:line="256" w:lineRule="auto"/>
              <w:rPr>
                <w:rFonts w:asciiTheme="majorHAnsi" w:hAnsiTheme="majorHAnsi" w:cstheme="majorHAnsi"/>
                <w:color w:val="1F3864"/>
                <w:kern w:val="0"/>
                <w:sz w:val="21"/>
                <w:szCs w:val="21"/>
              </w:rPr>
            </w:pPr>
            <w:r>
              <w:rPr>
                <w:rFonts w:asciiTheme="majorHAnsi" w:hAnsiTheme="majorHAnsi" w:cstheme="majorHAnsi"/>
                <w:b/>
                <w:bCs/>
                <w:kern w:val="0"/>
                <w:sz w:val="21"/>
                <w:szCs w:val="21"/>
              </w:rPr>
              <w:t>Trophée 2025 Prix Jeux vidéo</w:t>
            </w:r>
            <w:r>
              <w:rPr>
                <w:rFonts w:asciiTheme="majorHAnsi" w:hAnsiTheme="majorHAnsi" w:cstheme="majorHAnsi"/>
                <w:kern w:val="0"/>
                <w:sz w:val="21"/>
                <w:szCs w:val="21"/>
              </w:rPr>
              <w:t xml:space="preserve">, décerné à la société </w:t>
            </w:r>
            <w:proofErr w:type="spellStart"/>
            <w:r w:rsidR="00243587" w:rsidRPr="001A10CA">
              <w:rPr>
                <w:rFonts w:asciiTheme="majorHAnsi" w:hAnsiTheme="majorHAnsi" w:cstheme="majorHAnsi"/>
                <w:b/>
                <w:bCs/>
                <w:kern w:val="0"/>
                <w:sz w:val="21"/>
                <w:szCs w:val="21"/>
              </w:rPr>
              <w:t>Sandfall</w:t>
            </w:r>
            <w:proofErr w:type="spellEnd"/>
            <w:r w:rsidR="00243587" w:rsidRPr="001A10CA">
              <w:rPr>
                <w:rFonts w:asciiTheme="majorHAnsi" w:hAnsiTheme="majorHAnsi" w:cstheme="majorHAnsi"/>
                <w:b/>
                <w:bCs/>
                <w:kern w:val="0"/>
                <w:sz w:val="21"/>
                <w:szCs w:val="21"/>
              </w:rPr>
              <w:t xml:space="preserve"> Interactive</w:t>
            </w:r>
            <w:r>
              <w:rPr>
                <w:rFonts w:asciiTheme="majorHAnsi" w:hAnsiTheme="majorHAnsi" w:cstheme="majorHAnsi"/>
                <w:kern w:val="0"/>
                <w:sz w:val="21"/>
                <w:szCs w:val="21"/>
              </w:rPr>
              <w:t xml:space="preserve">, </w:t>
            </w:r>
            <w:r w:rsidR="00110C4A">
              <w:rPr>
                <w:rFonts w:asciiTheme="majorHAnsi" w:hAnsiTheme="majorHAnsi" w:cstheme="majorHAnsi"/>
                <w:kern w:val="0"/>
                <w:sz w:val="21"/>
                <w:szCs w:val="21"/>
              </w:rPr>
              <w:t xml:space="preserve">studio </w:t>
            </w:r>
            <w:r w:rsidR="00035408">
              <w:rPr>
                <w:rFonts w:asciiTheme="majorHAnsi" w:hAnsiTheme="majorHAnsi" w:cstheme="majorHAnsi"/>
                <w:kern w:val="0"/>
                <w:sz w:val="21"/>
                <w:szCs w:val="21"/>
              </w:rPr>
              <w:t xml:space="preserve">de développement </w:t>
            </w:r>
            <w:r w:rsidR="001C6B0C">
              <w:rPr>
                <w:rFonts w:asciiTheme="majorHAnsi" w:hAnsiTheme="majorHAnsi" w:cstheme="majorHAnsi"/>
                <w:kern w:val="0"/>
                <w:sz w:val="21"/>
                <w:szCs w:val="21"/>
              </w:rPr>
              <w:t>spécialisé dans les jeux premium</w:t>
            </w:r>
            <w:r w:rsidR="007862A0">
              <w:rPr>
                <w:rFonts w:asciiTheme="majorHAnsi" w:hAnsiTheme="majorHAnsi" w:cstheme="majorHAnsi"/>
                <w:kern w:val="0"/>
                <w:sz w:val="21"/>
                <w:szCs w:val="21"/>
              </w:rPr>
              <w:t xml:space="preserve"> </w:t>
            </w:r>
            <w:r w:rsidR="002848FB">
              <w:rPr>
                <w:rFonts w:asciiTheme="majorHAnsi" w:hAnsiTheme="majorHAnsi" w:cstheme="majorHAnsi"/>
                <w:kern w:val="0"/>
                <w:sz w:val="21"/>
                <w:szCs w:val="21"/>
              </w:rPr>
              <w:t xml:space="preserve">3D </w:t>
            </w:r>
            <w:r w:rsidR="001C6B0C">
              <w:rPr>
                <w:rFonts w:asciiTheme="majorHAnsi" w:hAnsiTheme="majorHAnsi" w:cstheme="majorHAnsi"/>
                <w:kern w:val="0"/>
                <w:sz w:val="21"/>
                <w:szCs w:val="21"/>
              </w:rPr>
              <w:t>pour PC et consoles</w:t>
            </w:r>
            <w:r w:rsidR="002848FB">
              <w:rPr>
                <w:rFonts w:asciiTheme="majorHAnsi" w:hAnsiTheme="majorHAnsi" w:cstheme="majorHAnsi"/>
                <w:kern w:val="0"/>
                <w:sz w:val="21"/>
                <w:szCs w:val="21"/>
              </w:rPr>
              <w:t xml:space="preserve"> de nouvelles génération.</w:t>
            </w:r>
          </w:p>
          <w:p w14:paraId="17D721D4" w14:textId="764E594C" w:rsidR="00B22955" w:rsidRPr="00185BA2" w:rsidRDefault="00B22955" w:rsidP="001A10CA">
            <w:pPr>
              <w:ind w:left="360"/>
              <w:rPr>
                <w:color w:val="1F3864"/>
              </w:rPr>
            </w:pPr>
          </w:p>
        </w:tc>
      </w:tr>
      <w:tr w:rsidR="00A0507A" w14:paraId="3DFF33D3" w14:textId="77777777" w:rsidTr="007C4FD4">
        <w:tc>
          <w:tcPr>
            <w:tcW w:w="10065" w:type="dxa"/>
            <w:gridSpan w:val="2"/>
          </w:tcPr>
          <w:p w14:paraId="576C82C2" w14:textId="77777777" w:rsidR="003B24B4" w:rsidRPr="000601DB" w:rsidRDefault="003B24B4" w:rsidP="00A0507A">
            <w:pPr>
              <w:jc w:val="center"/>
              <w:rPr>
                <w:rFonts w:asciiTheme="majorHAnsi" w:hAnsiTheme="majorHAnsi" w:cstheme="majorHAnsi"/>
                <w:color w:val="1F3864"/>
                <w:kern w:val="0"/>
                <w:sz w:val="21"/>
                <w:szCs w:val="21"/>
              </w:rPr>
            </w:pPr>
          </w:p>
          <w:p w14:paraId="42F2CD76" w14:textId="4E380D8C" w:rsidR="00A0507A" w:rsidRPr="000601DB" w:rsidRDefault="00A0507A" w:rsidP="003B24B4">
            <w:pPr>
              <w:shd w:val="clear" w:color="auto" w:fill="2F5496" w:themeFill="accent1" w:themeFillShade="BF"/>
              <w:jc w:val="center"/>
              <w:rPr>
                <w:rFonts w:asciiTheme="majorHAnsi" w:hAnsiTheme="majorHAnsi" w:cstheme="majorHAnsi"/>
                <w:color w:val="FFFFFF" w:themeColor="background1"/>
                <w:kern w:val="0"/>
                <w:sz w:val="32"/>
                <w:szCs w:val="32"/>
              </w:rPr>
            </w:pPr>
            <w:r w:rsidRPr="000601DB">
              <w:rPr>
                <w:rFonts w:asciiTheme="majorHAnsi" w:hAnsiTheme="majorHAnsi" w:cstheme="majorHAnsi"/>
                <w:color w:val="FFFFFF" w:themeColor="background1"/>
                <w:kern w:val="0"/>
                <w:sz w:val="32"/>
                <w:szCs w:val="32"/>
              </w:rPr>
              <w:t>Pour consulter et télécharger le rapport détaillé de l’étude :</w:t>
            </w:r>
          </w:p>
          <w:p w14:paraId="72119161" w14:textId="6F8FDEE4" w:rsidR="00A0507A" w:rsidRPr="00294A28" w:rsidRDefault="00000000" w:rsidP="003B24B4">
            <w:pPr>
              <w:shd w:val="clear" w:color="auto" w:fill="2F5496" w:themeFill="accent1" w:themeFillShade="BF"/>
              <w:jc w:val="center"/>
              <w:rPr>
                <w:rFonts w:asciiTheme="majorHAnsi" w:hAnsiTheme="majorHAnsi" w:cstheme="majorHAnsi"/>
                <w:color w:val="FFFFFF" w:themeColor="background1"/>
                <w:kern w:val="0"/>
                <w:sz w:val="32"/>
                <w:szCs w:val="32"/>
              </w:rPr>
            </w:pPr>
            <w:hyperlink r:id="rId9" w:history="1">
              <w:r w:rsidR="00B22955" w:rsidRPr="002A0C38">
                <w:rPr>
                  <w:rStyle w:val="Lienhypertexte"/>
                  <w:rFonts w:asciiTheme="majorHAnsi" w:hAnsiTheme="majorHAnsi" w:cstheme="majorHAnsi"/>
                  <w:color w:val="00B0F0"/>
                  <w:kern w:val="0"/>
                  <w:sz w:val="32"/>
                  <w:szCs w:val="32"/>
                </w:rPr>
                <w:t>Cliquer ICI</w:t>
              </w:r>
            </w:hyperlink>
            <w:r w:rsidR="007913EE" w:rsidRPr="002A0C38">
              <w:rPr>
                <w:rFonts w:asciiTheme="majorHAnsi" w:hAnsiTheme="majorHAnsi" w:cstheme="majorHAnsi"/>
                <w:color w:val="FFFFFF" w:themeColor="background1"/>
                <w:kern w:val="0"/>
                <w:sz w:val="32"/>
                <w:szCs w:val="32"/>
              </w:rPr>
              <w:t xml:space="preserve"> </w:t>
            </w:r>
          </w:p>
          <w:p w14:paraId="1B845009" w14:textId="77C0F2A4" w:rsidR="00C04652" w:rsidRPr="000601DB" w:rsidRDefault="00C04652" w:rsidP="000C4A0F">
            <w:pPr>
              <w:rPr>
                <w:rFonts w:asciiTheme="majorHAnsi" w:hAnsiTheme="majorHAnsi" w:cstheme="majorHAnsi"/>
                <w:color w:val="1F3864"/>
                <w:kern w:val="0"/>
                <w:sz w:val="32"/>
                <w:szCs w:val="32"/>
              </w:rPr>
            </w:pPr>
          </w:p>
        </w:tc>
      </w:tr>
      <w:tr w:rsidR="006D6CE2" w14:paraId="66F2B095" w14:textId="77777777" w:rsidTr="007C4FD4">
        <w:tc>
          <w:tcPr>
            <w:tcW w:w="10065" w:type="dxa"/>
            <w:gridSpan w:val="2"/>
          </w:tcPr>
          <w:p w14:paraId="3B6E01E4" w14:textId="77777777" w:rsidR="006D6CE2" w:rsidRPr="009F7E32" w:rsidRDefault="006D6CE2" w:rsidP="00B13CCA">
            <w:pPr>
              <w:jc w:val="both"/>
              <w:rPr>
                <w:rFonts w:asciiTheme="majorHAnsi" w:hAnsiTheme="majorHAnsi" w:cstheme="majorHAnsi"/>
                <w:b/>
                <w:bCs/>
                <w:kern w:val="0"/>
                <w:sz w:val="21"/>
                <w:szCs w:val="21"/>
              </w:rPr>
            </w:pPr>
            <w:r w:rsidRPr="009F7E32">
              <w:rPr>
                <w:rFonts w:asciiTheme="majorHAnsi" w:hAnsiTheme="majorHAnsi" w:cstheme="majorHAnsi"/>
                <w:b/>
                <w:bCs/>
                <w:kern w:val="0"/>
                <w:sz w:val="21"/>
                <w:szCs w:val="21"/>
              </w:rPr>
              <w:t xml:space="preserve">Méthodologie du panorama Top 250 </w:t>
            </w:r>
          </w:p>
          <w:p w14:paraId="68C8996E" w14:textId="71BE30A5" w:rsidR="00A20FA4" w:rsidRPr="00A20FA4" w:rsidRDefault="00A20FA4" w:rsidP="00A20FA4">
            <w:pPr>
              <w:jc w:val="both"/>
              <w:rPr>
                <w:rFonts w:asciiTheme="majorHAnsi" w:hAnsiTheme="majorHAnsi" w:cstheme="majorHAnsi"/>
                <w:kern w:val="0"/>
                <w:sz w:val="21"/>
                <w:szCs w:val="21"/>
              </w:rPr>
            </w:pPr>
            <w:r w:rsidRPr="00A20FA4">
              <w:rPr>
                <w:rFonts w:asciiTheme="majorHAnsi" w:hAnsiTheme="majorHAnsi" w:cstheme="majorHAnsi"/>
                <w:kern w:val="0"/>
                <w:sz w:val="21"/>
                <w:szCs w:val="21"/>
              </w:rPr>
              <w:t>Le Top 250 des Éditeurs de logiciels français</w:t>
            </w:r>
            <w:r>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est réalisé sur la base d’une enquête par</w:t>
            </w:r>
            <w:r>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questionnaire conduite par EY et Numeum</w:t>
            </w:r>
            <w:r>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auprès des éditeurs de logiciels français.</w:t>
            </w:r>
            <w:r w:rsidR="00765B1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Le classement général est effectué, dans cette</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lastRenderedPageBreak/>
              <w:t>édition 2025, sur la base du chiffre d’affaires</w:t>
            </w:r>
            <w:r w:rsidR="004E4B96">
              <w:rPr>
                <w:rFonts w:asciiTheme="majorHAnsi" w:hAnsiTheme="majorHAnsi" w:cstheme="majorHAnsi"/>
                <w:kern w:val="0"/>
                <w:sz w:val="21"/>
                <w:szCs w:val="21"/>
              </w:rPr>
              <w:t xml:space="preserve"> </w:t>
            </w:r>
            <w:r w:rsidR="00765B12">
              <w:rPr>
                <w:rFonts w:asciiTheme="majorHAnsi" w:hAnsiTheme="majorHAnsi" w:cstheme="majorHAnsi"/>
                <w:kern w:val="0"/>
                <w:sz w:val="21"/>
                <w:szCs w:val="21"/>
              </w:rPr>
              <w:t xml:space="preserve">mondial </w:t>
            </w:r>
            <w:r w:rsidRPr="00A20FA4">
              <w:rPr>
                <w:rFonts w:asciiTheme="majorHAnsi" w:hAnsiTheme="majorHAnsi" w:cstheme="majorHAnsi"/>
                <w:kern w:val="0"/>
                <w:sz w:val="21"/>
                <w:szCs w:val="21"/>
              </w:rPr>
              <w:t>correspondant à l’activité d’édition de logiciels</w:t>
            </w:r>
            <w:r w:rsidR="004E4B96">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de 284</w:t>
            </w:r>
            <w:r w:rsidR="004D0FBB">
              <w:rPr>
                <w:rFonts w:asciiTheme="majorHAnsi" w:hAnsiTheme="majorHAnsi" w:cstheme="majorHAnsi"/>
                <w:kern w:val="0"/>
                <w:sz w:val="21"/>
                <w:szCs w:val="21"/>
              </w:rPr>
              <w:t> </w:t>
            </w:r>
            <w:r w:rsidRPr="00A20FA4">
              <w:rPr>
                <w:rFonts w:asciiTheme="majorHAnsi" w:hAnsiTheme="majorHAnsi" w:cstheme="majorHAnsi"/>
                <w:kern w:val="0"/>
                <w:sz w:val="21"/>
                <w:szCs w:val="21"/>
              </w:rPr>
              <w:t>éditeurs.</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Seules les sociétés françaises déclarant ne pas</w:t>
            </w:r>
            <w:r w:rsidR="00D75049">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être filiales d’un groupe étranger sur l’exercice</w:t>
            </w:r>
            <w:r w:rsidR="00D75049">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concerné sont incluses dans ce panorama.</w:t>
            </w:r>
            <w:r w:rsidR="00D75049">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Les éléments chiffrés individuels communiqués</w:t>
            </w:r>
            <w:r w:rsidR="00D75049">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dans cette étude sont issus de données</w:t>
            </w:r>
            <w:r w:rsidR="00D75049">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déclarées par les entreprises en réponse au</w:t>
            </w:r>
            <w:r w:rsidR="00D75049">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questionnaire.</w:t>
            </w:r>
            <w:r w:rsidR="00BB240B">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Dans certains cas, ils sont complétés par des</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données publiques.</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Les données de chiffre d’affaires sont arrondies</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à la centaine de milliers d’euros.</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Les données ont été collectées auprès des</w:t>
            </w:r>
            <w:r w:rsidR="00E85482">
              <w:rPr>
                <w:rFonts w:asciiTheme="majorHAnsi" w:hAnsiTheme="majorHAnsi" w:cstheme="majorHAnsi"/>
                <w:kern w:val="0"/>
                <w:sz w:val="21"/>
                <w:szCs w:val="21"/>
              </w:rPr>
              <w:t xml:space="preserve"> </w:t>
            </w:r>
            <w:r w:rsidRPr="00A20FA4">
              <w:rPr>
                <w:rFonts w:asciiTheme="majorHAnsi" w:hAnsiTheme="majorHAnsi" w:cstheme="majorHAnsi"/>
                <w:kern w:val="0"/>
                <w:sz w:val="21"/>
                <w:szCs w:val="21"/>
              </w:rPr>
              <w:t>éditeurs entre mai et septembre 2025.</w:t>
            </w:r>
          </w:p>
          <w:p w14:paraId="0B62C380" w14:textId="72B3114F" w:rsidR="003B24B4" w:rsidRPr="009F7E32" w:rsidRDefault="003B24B4" w:rsidP="00B13CCA">
            <w:pPr>
              <w:jc w:val="both"/>
              <w:rPr>
                <w:rFonts w:asciiTheme="majorHAnsi" w:hAnsiTheme="majorHAnsi" w:cstheme="majorHAnsi"/>
                <w:kern w:val="0"/>
                <w:sz w:val="21"/>
                <w:szCs w:val="21"/>
              </w:rPr>
            </w:pPr>
          </w:p>
        </w:tc>
      </w:tr>
      <w:tr w:rsidR="007C7750" w14:paraId="1B60F176" w14:textId="77777777" w:rsidTr="007C4FD4">
        <w:tc>
          <w:tcPr>
            <w:tcW w:w="10065" w:type="dxa"/>
            <w:gridSpan w:val="2"/>
          </w:tcPr>
          <w:p w14:paraId="6A4A7244" w14:textId="450E92F7" w:rsidR="003B24B4" w:rsidRPr="009F7E32" w:rsidRDefault="007C7750" w:rsidP="00B13CCA">
            <w:pPr>
              <w:jc w:val="both"/>
              <w:rPr>
                <w:rFonts w:asciiTheme="majorHAnsi" w:hAnsiTheme="majorHAnsi" w:cstheme="majorHAnsi"/>
                <w:b/>
                <w:bCs/>
                <w:kern w:val="0"/>
                <w:sz w:val="21"/>
                <w:szCs w:val="21"/>
              </w:rPr>
            </w:pPr>
            <w:r w:rsidRPr="009F7E32">
              <w:rPr>
                <w:rFonts w:asciiTheme="majorHAnsi" w:hAnsiTheme="majorHAnsi" w:cstheme="majorHAnsi"/>
                <w:b/>
                <w:bCs/>
                <w:kern w:val="0"/>
                <w:sz w:val="21"/>
                <w:szCs w:val="21"/>
              </w:rPr>
              <w:lastRenderedPageBreak/>
              <w:t>A propos de Numeum</w:t>
            </w:r>
          </w:p>
          <w:p w14:paraId="1D02413C" w14:textId="77777777" w:rsidR="005366F0" w:rsidRDefault="005366F0" w:rsidP="00185BA2">
            <w:pPr>
              <w:jc w:val="both"/>
              <w:textAlignment w:val="baseline"/>
              <w:rPr>
                <w:rFonts w:asciiTheme="majorHAnsi" w:hAnsiTheme="majorHAnsi" w:cstheme="majorHAnsi"/>
                <w:kern w:val="0"/>
                <w:sz w:val="21"/>
                <w:szCs w:val="21"/>
              </w:rPr>
            </w:pPr>
            <w:r w:rsidRPr="005366F0">
              <w:rPr>
                <w:rFonts w:asciiTheme="majorHAnsi" w:hAnsiTheme="majorHAnsi" w:cstheme="majorHAnsi"/>
                <w:kern w:val="0"/>
                <w:sz w:val="21"/>
                <w:szCs w:val="21"/>
              </w:rPr>
              <w:t>Numeum est</w:t>
            </w:r>
            <w:r w:rsidR="00185BA2" w:rsidRPr="00185BA2">
              <w:rPr>
                <w:rFonts w:asciiTheme="majorHAnsi" w:hAnsiTheme="majorHAnsi" w:cstheme="majorHAnsi"/>
                <w:kern w:val="0"/>
                <w:sz w:val="21"/>
                <w:szCs w:val="21"/>
              </w:rPr>
              <w:t xml:space="preserve"> le syndicat patronal et la première organisation des professionnels du numérique en France. Membre de la fédération Syntec qui constitue la deuxième branche représentative du MEDEF, il représente les entreprises de services du numérique (ESN), les éditeurs de logiciels, les plateformes et les sociétés d’Ingénierie et de Conseil en Technologies (ICT).</w:t>
            </w:r>
            <w:r w:rsidRPr="005366F0">
              <w:rPr>
                <w:rFonts w:asciiTheme="majorHAnsi" w:hAnsiTheme="majorHAnsi" w:cstheme="majorHAnsi"/>
                <w:kern w:val="0"/>
                <w:sz w:val="21"/>
                <w:szCs w:val="21"/>
              </w:rPr>
              <w:t xml:space="preserve"> Numeum rassemble</w:t>
            </w:r>
            <w:r w:rsidR="00185BA2" w:rsidRPr="00185BA2">
              <w:rPr>
                <w:rFonts w:asciiTheme="majorHAnsi" w:hAnsiTheme="majorHAnsi" w:cstheme="majorHAnsi"/>
                <w:kern w:val="0"/>
                <w:sz w:val="21"/>
                <w:szCs w:val="21"/>
              </w:rPr>
              <w:t xml:space="preserve"> près de 2 500 entreprises adhérentes qui réalisent 85</w:t>
            </w:r>
            <w:r w:rsidRPr="005366F0">
              <w:rPr>
                <w:rFonts w:asciiTheme="majorHAnsi" w:hAnsiTheme="majorHAnsi" w:cstheme="majorHAnsi"/>
                <w:kern w:val="0"/>
                <w:sz w:val="21"/>
                <w:szCs w:val="21"/>
              </w:rPr>
              <w:t xml:space="preserve"> </w:t>
            </w:r>
            <w:r w:rsidR="00185BA2" w:rsidRPr="00185BA2">
              <w:rPr>
                <w:rFonts w:asciiTheme="majorHAnsi" w:hAnsiTheme="majorHAnsi" w:cstheme="majorHAnsi"/>
                <w:kern w:val="0"/>
                <w:sz w:val="21"/>
                <w:szCs w:val="21"/>
              </w:rPr>
              <w:t>% du chiffre d’affaires total du secteur qui lui-</w:t>
            </w:r>
            <w:r>
              <w:rPr>
                <w:rFonts w:asciiTheme="majorHAnsi" w:hAnsiTheme="majorHAnsi" w:cstheme="majorHAnsi"/>
                <w:kern w:val="0"/>
                <w:sz w:val="21"/>
                <w:szCs w:val="21"/>
              </w:rPr>
              <w:t xml:space="preserve"> </w:t>
            </w:r>
            <w:r w:rsidR="00185BA2" w:rsidRPr="00185BA2">
              <w:rPr>
                <w:rFonts w:asciiTheme="majorHAnsi" w:hAnsiTheme="majorHAnsi" w:cstheme="majorHAnsi"/>
                <w:kern w:val="0"/>
                <w:sz w:val="21"/>
                <w:szCs w:val="21"/>
              </w:rPr>
              <w:t>même représente 70 milliards d’euros de chiffre d’affaires et 670 000 collaborateurs en France. Présidé par Véronique Torner depuis juin 2023, Numeum met en œuvre un projet d’impact pour faire rayonner la filière et fédérer les écosystèmes des professionnels du Numérique en France et en Europe. La présidence se fixe trois grandes priorités : les régions, pour accompagner les adhérents partout en France, les compétences, pour répondre aux défis de l’attractivité et de la mixité, et le numérique responsable pour accompagner et soutenir le développement d’un écosystème numérique dans une trajectoire d’impact positif sur le plan économique, social, sociétal et environnemental.</w:t>
            </w:r>
          </w:p>
          <w:p w14:paraId="60AB4454" w14:textId="725E4CC7" w:rsidR="00185BA2" w:rsidRPr="00185BA2" w:rsidRDefault="00185BA2" w:rsidP="00185BA2">
            <w:pPr>
              <w:jc w:val="both"/>
              <w:textAlignment w:val="baseline"/>
              <w:rPr>
                <w:rFonts w:asciiTheme="majorHAnsi" w:hAnsiTheme="majorHAnsi" w:cstheme="majorHAnsi"/>
                <w:kern w:val="0"/>
                <w:sz w:val="21"/>
                <w:szCs w:val="21"/>
              </w:rPr>
            </w:pPr>
            <w:r w:rsidRPr="00185BA2">
              <w:rPr>
                <w:rFonts w:asciiTheme="majorHAnsi" w:hAnsiTheme="majorHAnsi" w:cstheme="majorHAnsi"/>
                <w:kern w:val="0"/>
                <w:sz w:val="21"/>
                <w:szCs w:val="21"/>
              </w:rPr>
              <w:t>Pour en savoir plus : </w:t>
            </w:r>
            <w:hyperlink r:id="rId10" w:tgtFrame="_blank" w:history="1">
              <w:r w:rsidRPr="00185BA2">
                <w:rPr>
                  <w:rStyle w:val="Lienhypertexte"/>
                  <w:rFonts w:asciiTheme="majorHAnsi" w:hAnsiTheme="majorHAnsi" w:cstheme="majorHAnsi"/>
                  <w:kern w:val="0"/>
                  <w:sz w:val="21"/>
                  <w:szCs w:val="21"/>
                </w:rPr>
                <w:t>www.numeum.fr</w:t>
              </w:r>
            </w:hyperlink>
            <w:r w:rsidRPr="00185BA2">
              <w:rPr>
                <w:rFonts w:asciiTheme="majorHAnsi" w:hAnsiTheme="majorHAnsi" w:cstheme="majorHAnsi"/>
                <w:kern w:val="0"/>
                <w:sz w:val="21"/>
                <w:szCs w:val="21"/>
              </w:rPr>
              <w:t> </w:t>
            </w:r>
          </w:p>
          <w:p w14:paraId="1974BAEA" w14:textId="77777777" w:rsidR="007C7750" w:rsidRPr="009F7E32" w:rsidRDefault="007C7750" w:rsidP="00B13CCA">
            <w:pPr>
              <w:jc w:val="both"/>
              <w:rPr>
                <w:rFonts w:asciiTheme="majorHAnsi" w:hAnsiTheme="majorHAnsi" w:cstheme="majorHAnsi"/>
                <w:kern w:val="0"/>
                <w:sz w:val="21"/>
                <w:szCs w:val="21"/>
              </w:rPr>
            </w:pPr>
          </w:p>
          <w:p w14:paraId="20A585BD" w14:textId="2FF6AE01" w:rsidR="00273108" w:rsidRDefault="007C7750" w:rsidP="001A10CA">
            <w:pPr>
              <w:jc w:val="both"/>
            </w:pPr>
            <w:r w:rsidRPr="009F7E32">
              <w:rPr>
                <w:rFonts w:asciiTheme="majorHAnsi" w:hAnsiTheme="majorHAnsi" w:cstheme="majorHAnsi"/>
                <w:b/>
                <w:bCs/>
                <w:kern w:val="0"/>
                <w:sz w:val="21"/>
                <w:szCs w:val="21"/>
              </w:rPr>
              <w:t>A propos d</w:t>
            </w:r>
            <w:r w:rsidR="00E675E6">
              <w:rPr>
                <w:rFonts w:asciiTheme="majorHAnsi" w:hAnsiTheme="majorHAnsi" w:cstheme="majorHAnsi"/>
                <w:b/>
                <w:bCs/>
                <w:kern w:val="0"/>
                <w:sz w:val="21"/>
                <w:szCs w:val="21"/>
              </w:rPr>
              <w:t xml:space="preserve">e </w:t>
            </w:r>
            <w:r w:rsidRPr="009F7E32">
              <w:rPr>
                <w:rFonts w:asciiTheme="majorHAnsi" w:hAnsiTheme="majorHAnsi" w:cstheme="majorHAnsi"/>
                <w:b/>
                <w:bCs/>
                <w:kern w:val="0"/>
                <w:sz w:val="21"/>
                <w:szCs w:val="21"/>
              </w:rPr>
              <w:t>EY</w:t>
            </w:r>
          </w:p>
          <w:p w14:paraId="090868AC" w14:textId="77777777" w:rsidR="00273108" w:rsidRPr="001A10CA" w:rsidRDefault="00273108" w:rsidP="00273108">
            <w:pPr>
              <w:pStyle w:val="NormalWeb"/>
              <w:spacing w:before="0" w:beforeAutospacing="0" w:after="0" w:afterAutospacing="0"/>
              <w:rPr>
                <w:rFonts w:asciiTheme="majorHAnsi" w:hAnsiTheme="majorHAnsi" w:cstheme="majorHAnsi"/>
                <w:sz w:val="21"/>
                <w:szCs w:val="21"/>
              </w:rPr>
            </w:pPr>
            <w:r w:rsidRPr="001A10CA">
              <w:rPr>
                <w:rFonts w:asciiTheme="majorHAnsi" w:hAnsiTheme="majorHAnsi" w:cstheme="majorHAnsi"/>
                <w:sz w:val="21"/>
                <w:szCs w:val="21"/>
              </w:rPr>
              <w:t>EY s’engage à bâtir un monde meilleur, en créant de la valeur sur le long terme pour nos clients et nos collaborateurs aussi bien que pour la société et la planète dans leur ensemble, tout en renforçant la confiance dans les marchés financiers.</w:t>
            </w:r>
          </w:p>
          <w:p w14:paraId="22A44D20" w14:textId="77777777" w:rsidR="00273108" w:rsidRPr="001A10CA" w:rsidRDefault="00273108" w:rsidP="00273108">
            <w:pPr>
              <w:pStyle w:val="NormalWeb"/>
              <w:spacing w:before="0" w:beforeAutospacing="0" w:after="0" w:afterAutospacing="0"/>
              <w:rPr>
                <w:rFonts w:asciiTheme="majorHAnsi" w:hAnsiTheme="majorHAnsi" w:cstheme="majorHAnsi"/>
                <w:sz w:val="21"/>
                <w:szCs w:val="21"/>
              </w:rPr>
            </w:pPr>
            <w:r w:rsidRPr="001A10CA">
              <w:rPr>
                <w:rFonts w:asciiTheme="majorHAnsi" w:hAnsiTheme="majorHAnsi" w:cstheme="majorHAnsi"/>
                <w:sz w:val="21"/>
                <w:szCs w:val="21"/>
              </w:rPr>
              <w:t>En s’appuyant sur le traitement des données, l’IA et les nouvelles technologies, les équipes EY contribuent à créer la confiance nécessaire à nos clients pour façonner un futur à l’épreuve des défis les plus pressants d’aujourd’hui et demain.</w:t>
            </w:r>
          </w:p>
          <w:p w14:paraId="142F98C6" w14:textId="77777777" w:rsidR="00273108" w:rsidRPr="001A10CA" w:rsidRDefault="00273108" w:rsidP="00273108">
            <w:pPr>
              <w:pStyle w:val="NormalWeb"/>
              <w:spacing w:before="0" w:beforeAutospacing="0" w:after="0" w:afterAutospacing="0"/>
              <w:rPr>
                <w:rFonts w:asciiTheme="majorHAnsi" w:hAnsiTheme="majorHAnsi" w:cstheme="majorHAnsi"/>
                <w:sz w:val="21"/>
                <w:szCs w:val="21"/>
              </w:rPr>
            </w:pPr>
            <w:r w:rsidRPr="001A10CA">
              <w:rPr>
                <w:rFonts w:asciiTheme="majorHAnsi" w:hAnsiTheme="majorHAnsi" w:cstheme="majorHAnsi"/>
                <w:sz w:val="21"/>
                <w:szCs w:val="21"/>
              </w:rPr>
              <w:t>À travers tout un éventail de services allant de l’audit au consulting en passant par la fiscalité, la stratégie et les transactions, les équipes d’EY sont en mesure de déployer leur expertise dans plus de 150 pays et territoires. Une connaissance approfondie du secteur, un réseau international et pluridisciplinaire ainsi qu’un écosystème de partenaires aussi vaste que diversifié sont autant d’atouts qui permettront à EY de participer à la construction d’un monde plus équilibré.</w:t>
            </w:r>
          </w:p>
          <w:p w14:paraId="010496BC" w14:textId="62F419BD" w:rsidR="00273108" w:rsidRPr="001A10CA" w:rsidRDefault="00273108" w:rsidP="00273108">
            <w:pPr>
              <w:pStyle w:val="NormalWeb"/>
              <w:spacing w:before="0" w:beforeAutospacing="0" w:after="0" w:afterAutospacing="0"/>
              <w:rPr>
                <w:rFonts w:asciiTheme="majorHAnsi" w:hAnsiTheme="majorHAnsi" w:cstheme="majorHAnsi"/>
                <w:sz w:val="21"/>
                <w:szCs w:val="21"/>
              </w:rPr>
            </w:pPr>
            <w:r w:rsidRPr="001A10CA">
              <w:rPr>
                <w:rFonts w:asciiTheme="majorHAnsi" w:hAnsiTheme="majorHAnsi" w:cstheme="majorHAnsi"/>
                <w:sz w:val="21"/>
                <w:szCs w:val="21"/>
              </w:rPr>
              <w:t xml:space="preserve">EY désigne l’organisation mondiale et peut faire référence à l’un ou plusieurs des membres d’Ernst &amp; Young Global Limited, dont chacun représente une entité juridique distincte. Ernst &amp; Young Global Limited, société britannique à responsabilité limitée par garantie, ne fournit pas de prestations aux clients. Les informations sur la manière dont EY collecte et utilise les données personnelles, ainsi que sur les droits des personnes concernées au titre de la législation en matière de protection des données sont disponibles sur </w:t>
            </w:r>
            <w:hyperlink r:id="rId11" w:tgtFrame="_blank" w:history="1">
              <w:r w:rsidRPr="001A10CA">
                <w:rPr>
                  <w:rStyle w:val="Lienhypertexte"/>
                  <w:rFonts w:asciiTheme="majorHAnsi" w:hAnsiTheme="majorHAnsi" w:cstheme="majorHAnsi"/>
                  <w:sz w:val="21"/>
                  <w:szCs w:val="21"/>
                </w:rPr>
                <w:t>ey.com/</w:t>
              </w:r>
              <w:proofErr w:type="spellStart"/>
            </w:hyperlink>
            <w:r w:rsidRPr="001A10CA">
              <w:rPr>
                <w:rFonts w:asciiTheme="majorHAnsi" w:hAnsiTheme="majorHAnsi" w:cstheme="majorHAnsi"/>
                <w:sz w:val="21"/>
                <w:szCs w:val="21"/>
              </w:rPr>
              <w:t>privacy</w:t>
            </w:r>
            <w:proofErr w:type="spellEnd"/>
            <w:r w:rsidRPr="001A10CA">
              <w:rPr>
                <w:rFonts w:asciiTheme="majorHAnsi" w:hAnsiTheme="majorHAnsi" w:cstheme="majorHAnsi"/>
                <w:sz w:val="21"/>
                <w:szCs w:val="21"/>
              </w:rPr>
              <w:t xml:space="preserve">. Les cabinets membres d’EY ne pratiquent pas d’activité juridique lorsque les lois locales l’interdisent. Pour plus d’informations sur notre organisation, </w:t>
            </w:r>
            <w:r w:rsidR="00E41ED5" w:rsidRPr="00E41ED5">
              <w:rPr>
                <w:rFonts w:asciiTheme="majorHAnsi" w:hAnsiTheme="majorHAnsi" w:cstheme="majorHAnsi"/>
                <w:sz w:val="21"/>
                <w:szCs w:val="21"/>
              </w:rPr>
              <w:t>veuillez-vous</w:t>
            </w:r>
            <w:r w:rsidRPr="001A10CA">
              <w:rPr>
                <w:rFonts w:asciiTheme="majorHAnsi" w:hAnsiTheme="majorHAnsi" w:cstheme="majorHAnsi"/>
                <w:sz w:val="21"/>
                <w:szCs w:val="21"/>
              </w:rPr>
              <w:t xml:space="preserve"> rendre sur notre site </w:t>
            </w:r>
            <w:hyperlink r:id="rId12" w:tgtFrame="_blank" w:history="1">
              <w:r w:rsidRPr="001A10CA">
                <w:rPr>
                  <w:rStyle w:val="Lienhypertexte"/>
                  <w:rFonts w:asciiTheme="majorHAnsi" w:hAnsiTheme="majorHAnsi" w:cstheme="majorHAnsi"/>
                  <w:sz w:val="21"/>
                  <w:szCs w:val="21"/>
                </w:rPr>
                <w:t>ey.com</w:t>
              </w:r>
            </w:hyperlink>
            <w:r w:rsidRPr="001A10CA">
              <w:rPr>
                <w:rFonts w:asciiTheme="majorHAnsi" w:hAnsiTheme="majorHAnsi" w:cstheme="majorHAnsi"/>
                <w:sz w:val="21"/>
                <w:szCs w:val="21"/>
              </w:rPr>
              <w:t>.</w:t>
            </w:r>
          </w:p>
          <w:p w14:paraId="24557C84" w14:textId="40B5F496" w:rsidR="00273108" w:rsidRPr="001A10CA" w:rsidRDefault="00273108" w:rsidP="00273108">
            <w:pPr>
              <w:pStyle w:val="NormalWeb"/>
              <w:spacing w:before="0" w:beforeAutospacing="0" w:after="0" w:afterAutospacing="0"/>
              <w:rPr>
                <w:rFonts w:asciiTheme="majorHAnsi" w:hAnsiTheme="majorHAnsi" w:cstheme="majorHAnsi"/>
                <w:sz w:val="21"/>
                <w:szCs w:val="21"/>
              </w:rPr>
            </w:pPr>
            <w:r w:rsidRPr="001A10CA">
              <w:rPr>
                <w:rFonts w:asciiTheme="majorHAnsi" w:hAnsiTheme="majorHAnsi" w:cstheme="majorHAnsi"/>
                <w:sz w:val="21"/>
                <w:szCs w:val="21"/>
              </w:rPr>
              <w:t>© 2025 EY &amp; Associés.</w:t>
            </w:r>
            <w:r w:rsidR="00CC3101">
              <w:rPr>
                <w:rFonts w:asciiTheme="majorHAnsi" w:hAnsiTheme="majorHAnsi" w:cstheme="majorHAnsi"/>
                <w:sz w:val="21"/>
                <w:szCs w:val="21"/>
              </w:rPr>
              <w:t xml:space="preserve"> </w:t>
            </w:r>
            <w:r w:rsidRPr="001A10CA">
              <w:rPr>
                <w:rFonts w:asciiTheme="majorHAnsi" w:hAnsiTheme="majorHAnsi" w:cstheme="majorHAnsi"/>
                <w:sz w:val="21"/>
                <w:szCs w:val="21"/>
              </w:rPr>
              <w:t>Tous droits réservés.</w:t>
            </w:r>
          </w:p>
          <w:p w14:paraId="75106C6E" w14:textId="49C378E6" w:rsidR="00273108" w:rsidRPr="002A0C38" w:rsidRDefault="00273108" w:rsidP="00273108">
            <w:pPr>
              <w:pStyle w:val="NormalWeb"/>
              <w:spacing w:before="0" w:beforeAutospacing="0" w:after="0" w:afterAutospacing="0"/>
              <w:rPr>
                <w:rFonts w:asciiTheme="majorHAnsi" w:hAnsiTheme="majorHAnsi" w:cstheme="majorHAnsi"/>
                <w:sz w:val="21"/>
                <w:szCs w:val="21"/>
                <w:lang w:val="en-US"/>
              </w:rPr>
            </w:pPr>
            <w:r w:rsidRPr="001A10CA">
              <w:rPr>
                <w:rFonts w:asciiTheme="majorHAnsi" w:hAnsiTheme="majorHAnsi" w:cstheme="majorHAnsi"/>
                <w:sz w:val="21"/>
                <w:szCs w:val="21"/>
              </w:rPr>
              <w:t>Cette publication a valeur d’information générale et ne saurait se substituer à un conseil professionnel en matière comptable, fiscale, juridique ou autre. Pour toute question spécifique, veuillez-vous adresser à vos conseillers.</w:t>
            </w:r>
            <w:hyperlink r:id="rId13" w:tgtFrame="_blank" w:history="1">
              <w:r w:rsidRPr="002A0C38">
                <w:rPr>
                  <w:rStyle w:val="Lienhypertexte"/>
                  <w:rFonts w:asciiTheme="majorHAnsi" w:hAnsiTheme="majorHAnsi" w:cstheme="majorHAnsi"/>
                  <w:sz w:val="21"/>
                  <w:szCs w:val="21"/>
                  <w:lang w:val="en-US"/>
                </w:rPr>
                <w:t>ey.com/</w:t>
              </w:r>
              <w:proofErr w:type="spellStart"/>
            </w:hyperlink>
            <w:r w:rsidRPr="002A0C38">
              <w:rPr>
                <w:rFonts w:asciiTheme="majorHAnsi" w:hAnsiTheme="majorHAnsi" w:cstheme="majorHAnsi"/>
                <w:sz w:val="21"/>
                <w:szCs w:val="21"/>
                <w:lang w:val="en-US"/>
              </w:rPr>
              <w:t>fr</w:t>
            </w:r>
            <w:proofErr w:type="spellEnd"/>
          </w:p>
          <w:p w14:paraId="4D375880" w14:textId="77777777" w:rsidR="00EB6BA7" w:rsidRPr="002A0C38" w:rsidRDefault="00EB6BA7" w:rsidP="00B13CCA">
            <w:pPr>
              <w:jc w:val="both"/>
              <w:rPr>
                <w:rFonts w:asciiTheme="majorHAnsi" w:hAnsiTheme="majorHAnsi" w:cstheme="majorHAnsi"/>
                <w:kern w:val="0"/>
                <w:sz w:val="21"/>
                <w:szCs w:val="21"/>
                <w:lang w:val="en-US"/>
              </w:rPr>
            </w:pPr>
          </w:p>
          <w:p w14:paraId="1DDE42D8" w14:textId="2FAEEEB6" w:rsidR="00EB6BA7" w:rsidRPr="002A0C38" w:rsidRDefault="00EB6BA7" w:rsidP="00453A8A">
            <w:pPr>
              <w:jc w:val="center"/>
              <w:rPr>
                <w:rFonts w:cstheme="minorHAnsi"/>
                <w:b/>
                <w:bCs/>
                <w:kern w:val="0"/>
                <w:lang w:val="en-US"/>
              </w:rPr>
            </w:pPr>
            <w:r w:rsidRPr="002A0C38">
              <w:rPr>
                <w:rFonts w:cstheme="minorHAnsi"/>
                <w:b/>
                <w:bCs/>
                <w:kern w:val="0"/>
                <w:lang w:val="en-US"/>
              </w:rPr>
              <w:t xml:space="preserve">Contacts </w:t>
            </w:r>
            <w:proofErr w:type="spellStart"/>
            <w:r w:rsidRPr="002A0C38">
              <w:rPr>
                <w:rFonts w:cstheme="minorHAnsi"/>
                <w:b/>
                <w:bCs/>
                <w:kern w:val="0"/>
                <w:lang w:val="en-US"/>
              </w:rPr>
              <w:t>médias</w:t>
            </w:r>
            <w:proofErr w:type="spellEnd"/>
          </w:p>
          <w:p w14:paraId="25644BC6" w14:textId="77777777" w:rsidR="00EB6BA7" w:rsidRPr="002A0C38" w:rsidRDefault="00EB6BA7" w:rsidP="00EB6BA7">
            <w:pPr>
              <w:jc w:val="center"/>
              <w:rPr>
                <w:rFonts w:cstheme="minorHAnsi"/>
                <w:kern w:val="0"/>
                <w:lang w:val="en-US"/>
              </w:rPr>
            </w:pPr>
          </w:p>
          <w:p w14:paraId="72B713BC" w14:textId="77777777" w:rsidR="00EB6BA7" w:rsidRPr="002A0C38" w:rsidRDefault="00EB6BA7" w:rsidP="00EB6BA7">
            <w:pPr>
              <w:jc w:val="center"/>
              <w:rPr>
                <w:rFonts w:cstheme="minorHAnsi"/>
                <w:b/>
                <w:bCs/>
                <w:kern w:val="0"/>
                <w:lang w:val="en-US"/>
              </w:rPr>
            </w:pPr>
            <w:r w:rsidRPr="002A0C38">
              <w:rPr>
                <w:rFonts w:cstheme="minorHAnsi"/>
                <w:b/>
                <w:bCs/>
                <w:kern w:val="0"/>
                <w:lang w:val="en-US"/>
              </w:rPr>
              <w:t>Numeum</w:t>
            </w:r>
          </w:p>
          <w:p w14:paraId="484E0114" w14:textId="0885FCE0" w:rsidR="007822A6" w:rsidRPr="002600C9" w:rsidRDefault="005464F7" w:rsidP="002600C9">
            <w:pPr>
              <w:jc w:val="center"/>
              <w:rPr>
                <w:rFonts w:cstheme="minorHAnsi"/>
                <w:b/>
                <w:bCs/>
                <w:kern w:val="0"/>
                <w:lang w:val="en-GB"/>
              </w:rPr>
            </w:pPr>
            <w:r w:rsidRPr="002600C9">
              <w:rPr>
                <w:rFonts w:cstheme="minorHAnsi"/>
                <w:kern w:val="0"/>
                <w:lang w:val="en-GB"/>
              </w:rPr>
              <w:t>Alex Brard</w:t>
            </w:r>
            <w:r w:rsidR="00734E56" w:rsidRPr="002600C9">
              <w:rPr>
                <w:rFonts w:cstheme="minorHAnsi"/>
                <w:kern w:val="0"/>
                <w:lang w:val="en-GB"/>
              </w:rPr>
              <w:t xml:space="preserve"> – 06 31 71 67 29</w:t>
            </w:r>
            <w:r w:rsidR="002600C9">
              <w:rPr>
                <w:rFonts w:cstheme="minorHAnsi"/>
                <w:b/>
                <w:bCs/>
                <w:kern w:val="0"/>
                <w:lang w:val="en-GB"/>
              </w:rPr>
              <w:t xml:space="preserve"> - </w:t>
            </w:r>
            <w:hyperlink r:id="rId14" w:history="1">
              <w:r w:rsidR="002600C9" w:rsidRPr="00EC14E2">
                <w:rPr>
                  <w:rStyle w:val="Lienhypertexte"/>
                  <w:lang w:val="en-GB"/>
                </w:rPr>
                <w:t>numeum@the-arcane.com</w:t>
              </w:r>
            </w:hyperlink>
            <w:r w:rsidR="006E7BE7" w:rsidRPr="005464F7">
              <w:rPr>
                <w:lang w:val="en-GB"/>
              </w:rPr>
              <w:t xml:space="preserve"> </w:t>
            </w:r>
          </w:p>
          <w:p w14:paraId="1C91DC3C" w14:textId="496F2793" w:rsidR="00EB6BA7" w:rsidRPr="00BF114A" w:rsidRDefault="00EB6BA7" w:rsidP="007822A6">
            <w:pPr>
              <w:jc w:val="center"/>
              <w:rPr>
                <w:rFonts w:cstheme="minorHAnsi"/>
                <w:kern w:val="0"/>
                <w:lang w:val="en-US"/>
              </w:rPr>
            </w:pPr>
            <w:r w:rsidRPr="00BF114A">
              <w:rPr>
                <w:rFonts w:cstheme="minorHAnsi"/>
                <w:b/>
                <w:bCs/>
                <w:kern w:val="0"/>
                <w:lang w:val="en-US"/>
              </w:rPr>
              <w:t>EY</w:t>
            </w:r>
          </w:p>
          <w:p w14:paraId="6838D273" w14:textId="77777777" w:rsidR="00726E87" w:rsidRPr="00BF114A" w:rsidRDefault="00726E87" w:rsidP="00726E87">
            <w:pPr>
              <w:jc w:val="center"/>
              <w:rPr>
                <w:rFonts w:cstheme="minorHAnsi"/>
                <w:kern w:val="0"/>
                <w:lang w:val="en-GB"/>
              </w:rPr>
            </w:pPr>
            <w:r w:rsidRPr="00BF114A">
              <w:rPr>
                <w:rFonts w:cstheme="minorHAnsi"/>
                <w:kern w:val="0"/>
                <w:lang w:val="en-GB"/>
              </w:rPr>
              <w:t xml:space="preserve">Joachim Martin – 06 25 59 63 23 </w:t>
            </w:r>
            <w:r w:rsidRPr="00BF114A">
              <w:rPr>
                <w:rFonts w:cstheme="minorHAnsi"/>
                <w:kern w:val="0"/>
                <w:lang w:val="en-US"/>
              </w:rPr>
              <w:t>–</w:t>
            </w:r>
            <w:r w:rsidRPr="00BF114A">
              <w:rPr>
                <w:rFonts w:cstheme="minorHAnsi"/>
                <w:kern w:val="0"/>
                <w:lang w:val="en-GB"/>
              </w:rPr>
              <w:t> </w:t>
            </w:r>
            <w:hyperlink r:id="rId15" w:tgtFrame="_blank" w:tooltip="https://mailto/" w:history="1">
              <w:r w:rsidRPr="00BF114A">
                <w:rPr>
                  <w:rStyle w:val="Lienhypertexte"/>
                  <w:rFonts w:cstheme="minorHAnsi"/>
                  <w:kern w:val="0"/>
                  <w:lang w:val="en-GB"/>
                </w:rPr>
                <w:t>joachim.martin@fabernovel.ey.com</w:t>
              </w:r>
            </w:hyperlink>
            <w:r w:rsidRPr="00BF114A">
              <w:rPr>
                <w:rFonts w:cstheme="minorHAnsi"/>
                <w:kern w:val="0"/>
                <w:lang w:val="en-GB"/>
              </w:rPr>
              <w:t> </w:t>
            </w:r>
          </w:p>
          <w:p w14:paraId="42D5B3D6" w14:textId="66EE8527" w:rsidR="00EB6BA7" w:rsidRPr="009F7E32" w:rsidRDefault="00726E87" w:rsidP="00726E87">
            <w:pPr>
              <w:jc w:val="center"/>
              <w:rPr>
                <w:rFonts w:asciiTheme="majorHAnsi" w:hAnsiTheme="majorHAnsi" w:cstheme="majorHAnsi"/>
                <w:kern w:val="0"/>
                <w:sz w:val="21"/>
                <w:szCs w:val="21"/>
              </w:rPr>
            </w:pPr>
            <w:r w:rsidRPr="00BF114A">
              <w:rPr>
                <w:rFonts w:cstheme="minorHAnsi"/>
                <w:kern w:val="0"/>
              </w:rPr>
              <w:t xml:space="preserve">Nicolas Bouchez – 07 64 84 09 19 – </w:t>
            </w:r>
            <w:hyperlink r:id="rId16" w:history="1">
              <w:r w:rsidRPr="00BF114A">
                <w:rPr>
                  <w:rStyle w:val="Lienhypertexte"/>
                  <w:rFonts w:cstheme="minorHAnsi"/>
                  <w:kern w:val="0"/>
                </w:rPr>
                <w:t>nicolas.bouchez@fr.ey.com</w:t>
              </w:r>
            </w:hyperlink>
          </w:p>
        </w:tc>
      </w:tr>
    </w:tbl>
    <w:p w14:paraId="473CA3F3" w14:textId="77777777" w:rsidR="007216A9" w:rsidRDefault="007216A9" w:rsidP="000375CC"/>
    <w:sectPr w:rsidR="00721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charset w:val="4D"/>
    <w:family w:val="swiss"/>
    <w:pitch w:val="variable"/>
    <w:sig w:usb0="800000AF" w:usb1="5000204A" w:usb2="00000000" w:usb3="00000000" w:csb0="0000009B" w:csb1="00000000"/>
  </w:font>
  <w:font w:name="Abril Tex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C3548"/>
    <w:multiLevelType w:val="multilevel"/>
    <w:tmpl w:val="898C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EC26C7"/>
    <w:multiLevelType w:val="multilevel"/>
    <w:tmpl w:val="D856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8A48D7"/>
    <w:multiLevelType w:val="hybridMultilevel"/>
    <w:tmpl w:val="E4C637B6"/>
    <w:lvl w:ilvl="0" w:tplc="D09C9112">
      <w:start w:val="202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6785622">
    <w:abstractNumId w:val="0"/>
  </w:num>
  <w:num w:numId="2" w16cid:durableId="25062396">
    <w:abstractNumId w:val="2"/>
  </w:num>
  <w:num w:numId="3" w16cid:durableId="574170682">
    <w:abstractNumId w:val="1"/>
  </w:num>
  <w:num w:numId="4" w16cid:durableId="60400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DA"/>
    <w:rsid w:val="00010378"/>
    <w:rsid w:val="00012337"/>
    <w:rsid w:val="000127D8"/>
    <w:rsid w:val="00015CFC"/>
    <w:rsid w:val="00022BCD"/>
    <w:rsid w:val="000249DE"/>
    <w:rsid w:val="00027C4A"/>
    <w:rsid w:val="000352E9"/>
    <w:rsid w:val="00035408"/>
    <w:rsid w:val="000375CC"/>
    <w:rsid w:val="00040D69"/>
    <w:rsid w:val="00040EB7"/>
    <w:rsid w:val="00046D6C"/>
    <w:rsid w:val="0005006E"/>
    <w:rsid w:val="000503AD"/>
    <w:rsid w:val="00053B8A"/>
    <w:rsid w:val="00053FD8"/>
    <w:rsid w:val="000549F5"/>
    <w:rsid w:val="00056732"/>
    <w:rsid w:val="000601DB"/>
    <w:rsid w:val="00060482"/>
    <w:rsid w:val="00064950"/>
    <w:rsid w:val="00065C2C"/>
    <w:rsid w:val="00066AA0"/>
    <w:rsid w:val="00066B74"/>
    <w:rsid w:val="000743E0"/>
    <w:rsid w:val="0008195E"/>
    <w:rsid w:val="00082707"/>
    <w:rsid w:val="00092BC5"/>
    <w:rsid w:val="00093411"/>
    <w:rsid w:val="000A04E2"/>
    <w:rsid w:val="000A0A98"/>
    <w:rsid w:val="000A130E"/>
    <w:rsid w:val="000A29F7"/>
    <w:rsid w:val="000A3795"/>
    <w:rsid w:val="000A6C1F"/>
    <w:rsid w:val="000B431D"/>
    <w:rsid w:val="000B5235"/>
    <w:rsid w:val="000B6EBA"/>
    <w:rsid w:val="000C1BFB"/>
    <w:rsid w:val="000C4A0F"/>
    <w:rsid w:val="000C5603"/>
    <w:rsid w:val="000C69B0"/>
    <w:rsid w:val="000E0ABB"/>
    <w:rsid w:val="000E323D"/>
    <w:rsid w:val="000F0112"/>
    <w:rsid w:val="000F1F3B"/>
    <w:rsid w:val="000F47C2"/>
    <w:rsid w:val="000F4DEC"/>
    <w:rsid w:val="00106DFE"/>
    <w:rsid w:val="00106FAB"/>
    <w:rsid w:val="00110C4A"/>
    <w:rsid w:val="00111744"/>
    <w:rsid w:val="00112B08"/>
    <w:rsid w:val="00122B69"/>
    <w:rsid w:val="001250B5"/>
    <w:rsid w:val="00125BF2"/>
    <w:rsid w:val="00125CD2"/>
    <w:rsid w:val="00126298"/>
    <w:rsid w:val="00132CF2"/>
    <w:rsid w:val="00137A16"/>
    <w:rsid w:val="001455A0"/>
    <w:rsid w:val="00146001"/>
    <w:rsid w:val="00154A41"/>
    <w:rsid w:val="00157FF4"/>
    <w:rsid w:val="00160D2D"/>
    <w:rsid w:val="00160E76"/>
    <w:rsid w:val="001633C0"/>
    <w:rsid w:val="00171E54"/>
    <w:rsid w:val="00172CFF"/>
    <w:rsid w:val="00180B2E"/>
    <w:rsid w:val="00181A26"/>
    <w:rsid w:val="001849FB"/>
    <w:rsid w:val="00184ADA"/>
    <w:rsid w:val="00185BA2"/>
    <w:rsid w:val="001946E1"/>
    <w:rsid w:val="00194D06"/>
    <w:rsid w:val="00197E3C"/>
    <w:rsid w:val="001A10CA"/>
    <w:rsid w:val="001A22DE"/>
    <w:rsid w:val="001A4873"/>
    <w:rsid w:val="001B1578"/>
    <w:rsid w:val="001B6AE6"/>
    <w:rsid w:val="001B74BD"/>
    <w:rsid w:val="001C1B18"/>
    <w:rsid w:val="001C5D18"/>
    <w:rsid w:val="001C6B0C"/>
    <w:rsid w:val="001D2FE9"/>
    <w:rsid w:val="001E7FD8"/>
    <w:rsid w:val="001F760D"/>
    <w:rsid w:val="002017B6"/>
    <w:rsid w:val="00203FD3"/>
    <w:rsid w:val="00204CD0"/>
    <w:rsid w:val="0021019A"/>
    <w:rsid w:val="002108C7"/>
    <w:rsid w:val="00213C53"/>
    <w:rsid w:val="00215F74"/>
    <w:rsid w:val="00216044"/>
    <w:rsid w:val="00221B8A"/>
    <w:rsid w:val="00231BDB"/>
    <w:rsid w:val="00234D3A"/>
    <w:rsid w:val="00236325"/>
    <w:rsid w:val="00236F67"/>
    <w:rsid w:val="00243587"/>
    <w:rsid w:val="00250769"/>
    <w:rsid w:val="0025397D"/>
    <w:rsid w:val="00256D9F"/>
    <w:rsid w:val="002600C9"/>
    <w:rsid w:val="00270C7A"/>
    <w:rsid w:val="002710A4"/>
    <w:rsid w:val="00272971"/>
    <w:rsid w:val="00273108"/>
    <w:rsid w:val="0027550B"/>
    <w:rsid w:val="00277FBA"/>
    <w:rsid w:val="002848FB"/>
    <w:rsid w:val="00292117"/>
    <w:rsid w:val="00294A28"/>
    <w:rsid w:val="002A0C38"/>
    <w:rsid w:val="002A3583"/>
    <w:rsid w:val="002A3E87"/>
    <w:rsid w:val="002B2955"/>
    <w:rsid w:val="002B484A"/>
    <w:rsid w:val="002C2E4D"/>
    <w:rsid w:val="002C792E"/>
    <w:rsid w:val="002D7C05"/>
    <w:rsid w:val="002E48FE"/>
    <w:rsid w:val="002E5282"/>
    <w:rsid w:val="002E62DA"/>
    <w:rsid w:val="002E73A9"/>
    <w:rsid w:val="002F7B2C"/>
    <w:rsid w:val="002F7D56"/>
    <w:rsid w:val="00317176"/>
    <w:rsid w:val="003338DF"/>
    <w:rsid w:val="003341C4"/>
    <w:rsid w:val="00334F51"/>
    <w:rsid w:val="0033796B"/>
    <w:rsid w:val="00363C0E"/>
    <w:rsid w:val="00365E23"/>
    <w:rsid w:val="00374844"/>
    <w:rsid w:val="00374D80"/>
    <w:rsid w:val="00382B7F"/>
    <w:rsid w:val="00386723"/>
    <w:rsid w:val="00386BA6"/>
    <w:rsid w:val="00393AEE"/>
    <w:rsid w:val="00397620"/>
    <w:rsid w:val="00397FF4"/>
    <w:rsid w:val="003A26A8"/>
    <w:rsid w:val="003A70F8"/>
    <w:rsid w:val="003B24B4"/>
    <w:rsid w:val="003B70DF"/>
    <w:rsid w:val="003C12F2"/>
    <w:rsid w:val="003C1DCF"/>
    <w:rsid w:val="003C47C3"/>
    <w:rsid w:val="003C5808"/>
    <w:rsid w:val="003C7FFB"/>
    <w:rsid w:val="003D1A0A"/>
    <w:rsid w:val="003E60C1"/>
    <w:rsid w:val="003E63C3"/>
    <w:rsid w:val="003E799E"/>
    <w:rsid w:val="003E7C23"/>
    <w:rsid w:val="003F591E"/>
    <w:rsid w:val="003F77B8"/>
    <w:rsid w:val="0040692D"/>
    <w:rsid w:val="0040722F"/>
    <w:rsid w:val="004119D6"/>
    <w:rsid w:val="0041447B"/>
    <w:rsid w:val="004147EA"/>
    <w:rsid w:val="00414E74"/>
    <w:rsid w:val="004167FA"/>
    <w:rsid w:val="004263E1"/>
    <w:rsid w:val="00434556"/>
    <w:rsid w:val="00441917"/>
    <w:rsid w:val="0044199D"/>
    <w:rsid w:val="004432B6"/>
    <w:rsid w:val="004446B9"/>
    <w:rsid w:val="004448D8"/>
    <w:rsid w:val="00450245"/>
    <w:rsid w:val="00452A0F"/>
    <w:rsid w:val="00453A8A"/>
    <w:rsid w:val="00453D39"/>
    <w:rsid w:val="004564F3"/>
    <w:rsid w:val="00461244"/>
    <w:rsid w:val="00474EF2"/>
    <w:rsid w:val="004809E5"/>
    <w:rsid w:val="0048356D"/>
    <w:rsid w:val="00484B2C"/>
    <w:rsid w:val="00494F8A"/>
    <w:rsid w:val="0049578E"/>
    <w:rsid w:val="00495A31"/>
    <w:rsid w:val="004A3810"/>
    <w:rsid w:val="004A6B47"/>
    <w:rsid w:val="004A79A2"/>
    <w:rsid w:val="004B2EDD"/>
    <w:rsid w:val="004B589C"/>
    <w:rsid w:val="004C0DEE"/>
    <w:rsid w:val="004C1F22"/>
    <w:rsid w:val="004C52A4"/>
    <w:rsid w:val="004C5928"/>
    <w:rsid w:val="004D0FBB"/>
    <w:rsid w:val="004D3092"/>
    <w:rsid w:val="004D3CE8"/>
    <w:rsid w:val="004D7709"/>
    <w:rsid w:val="004E0692"/>
    <w:rsid w:val="004E2D01"/>
    <w:rsid w:val="004E4B96"/>
    <w:rsid w:val="004E63E2"/>
    <w:rsid w:val="004F13D9"/>
    <w:rsid w:val="004F630D"/>
    <w:rsid w:val="00512795"/>
    <w:rsid w:val="005223F4"/>
    <w:rsid w:val="00525FC8"/>
    <w:rsid w:val="00526A21"/>
    <w:rsid w:val="005366F0"/>
    <w:rsid w:val="00537084"/>
    <w:rsid w:val="00545473"/>
    <w:rsid w:val="005464F7"/>
    <w:rsid w:val="0055312A"/>
    <w:rsid w:val="00560E2B"/>
    <w:rsid w:val="005703AC"/>
    <w:rsid w:val="005806B1"/>
    <w:rsid w:val="00580C1F"/>
    <w:rsid w:val="00581C26"/>
    <w:rsid w:val="00584951"/>
    <w:rsid w:val="0058618B"/>
    <w:rsid w:val="0058658B"/>
    <w:rsid w:val="00596B85"/>
    <w:rsid w:val="005A3ED0"/>
    <w:rsid w:val="005A4FAE"/>
    <w:rsid w:val="005B37DB"/>
    <w:rsid w:val="005B4870"/>
    <w:rsid w:val="005B5B29"/>
    <w:rsid w:val="005C0265"/>
    <w:rsid w:val="005C3B61"/>
    <w:rsid w:val="005C767D"/>
    <w:rsid w:val="005D00C5"/>
    <w:rsid w:val="005D4F2A"/>
    <w:rsid w:val="005F1CB4"/>
    <w:rsid w:val="006021D4"/>
    <w:rsid w:val="0060531B"/>
    <w:rsid w:val="00605522"/>
    <w:rsid w:val="00607387"/>
    <w:rsid w:val="0060740E"/>
    <w:rsid w:val="00610EAE"/>
    <w:rsid w:val="006119B5"/>
    <w:rsid w:val="00614E74"/>
    <w:rsid w:val="0061753A"/>
    <w:rsid w:val="0063056C"/>
    <w:rsid w:val="006365CB"/>
    <w:rsid w:val="00636A65"/>
    <w:rsid w:val="00654C07"/>
    <w:rsid w:val="00655B32"/>
    <w:rsid w:val="00657394"/>
    <w:rsid w:val="006574ED"/>
    <w:rsid w:val="006709D4"/>
    <w:rsid w:val="00671509"/>
    <w:rsid w:val="00680590"/>
    <w:rsid w:val="006812B0"/>
    <w:rsid w:val="006839A2"/>
    <w:rsid w:val="00683B52"/>
    <w:rsid w:val="006872EE"/>
    <w:rsid w:val="006879B6"/>
    <w:rsid w:val="0069346E"/>
    <w:rsid w:val="00694139"/>
    <w:rsid w:val="006956DC"/>
    <w:rsid w:val="00695EF2"/>
    <w:rsid w:val="006A059F"/>
    <w:rsid w:val="006A6BBA"/>
    <w:rsid w:val="006B04D2"/>
    <w:rsid w:val="006B070A"/>
    <w:rsid w:val="006B367C"/>
    <w:rsid w:val="006B4C46"/>
    <w:rsid w:val="006B5A89"/>
    <w:rsid w:val="006B5B7B"/>
    <w:rsid w:val="006C14FB"/>
    <w:rsid w:val="006C2250"/>
    <w:rsid w:val="006C2AE1"/>
    <w:rsid w:val="006D4392"/>
    <w:rsid w:val="006D6CE2"/>
    <w:rsid w:val="006D7032"/>
    <w:rsid w:val="006E0187"/>
    <w:rsid w:val="006E6534"/>
    <w:rsid w:val="006E7BE7"/>
    <w:rsid w:val="006F4FA5"/>
    <w:rsid w:val="006F67D0"/>
    <w:rsid w:val="006F793B"/>
    <w:rsid w:val="0070101C"/>
    <w:rsid w:val="00701C02"/>
    <w:rsid w:val="00714004"/>
    <w:rsid w:val="0072074D"/>
    <w:rsid w:val="007216A9"/>
    <w:rsid w:val="0072210E"/>
    <w:rsid w:val="00722BD7"/>
    <w:rsid w:val="00725055"/>
    <w:rsid w:val="00725A12"/>
    <w:rsid w:val="00726E87"/>
    <w:rsid w:val="00734E56"/>
    <w:rsid w:val="00735882"/>
    <w:rsid w:val="007379E6"/>
    <w:rsid w:val="0074097B"/>
    <w:rsid w:val="00745C9C"/>
    <w:rsid w:val="00747C1D"/>
    <w:rsid w:val="007506A4"/>
    <w:rsid w:val="0075528D"/>
    <w:rsid w:val="00757C23"/>
    <w:rsid w:val="007613ED"/>
    <w:rsid w:val="00765B12"/>
    <w:rsid w:val="0077450F"/>
    <w:rsid w:val="00774ACB"/>
    <w:rsid w:val="00774DFA"/>
    <w:rsid w:val="00775515"/>
    <w:rsid w:val="00777AA7"/>
    <w:rsid w:val="0078228E"/>
    <w:rsid w:val="007822A6"/>
    <w:rsid w:val="00782A98"/>
    <w:rsid w:val="007862A0"/>
    <w:rsid w:val="00787EF0"/>
    <w:rsid w:val="007913EE"/>
    <w:rsid w:val="00793745"/>
    <w:rsid w:val="007941D9"/>
    <w:rsid w:val="00795EF1"/>
    <w:rsid w:val="0079614C"/>
    <w:rsid w:val="0079625C"/>
    <w:rsid w:val="007A584C"/>
    <w:rsid w:val="007B66B2"/>
    <w:rsid w:val="007C0316"/>
    <w:rsid w:val="007C296C"/>
    <w:rsid w:val="007C4FD4"/>
    <w:rsid w:val="007C6597"/>
    <w:rsid w:val="007C76F8"/>
    <w:rsid w:val="007C7750"/>
    <w:rsid w:val="007D4230"/>
    <w:rsid w:val="007D7082"/>
    <w:rsid w:val="007E18D1"/>
    <w:rsid w:val="007E1A2F"/>
    <w:rsid w:val="007E4261"/>
    <w:rsid w:val="007E641E"/>
    <w:rsid w:val="007F3B56"/>
    <w:rsid w:val="007F4D86"/>
    <w:rsid w:val="00803587"/>
    <w:rsid w:val="008123FE"/>
    <w:rsid w:val="00822F9F"/>
    <w:rsid w:val="00823C03"/>
    <w:rsid w:val="00824F18"/>
    <w:rsid w:val="00825A35"/>
    <w:rsid w:val="00835F7C"/>
    <w:rsid w:val="00837B88"/>
    <w:rsid w:val="00850B46"/>
    <w:rsid w:val="0085189B"/>
    <w:rsid w:val="00853D14"/>
    <w:rsid w:val="008544A8"/>
    <w:rsid w:val="00854A24"/>
    <w:rsid w:val="0086092E"/>
    <w:rsid w:val="00861C4E"/>
    <w:rsid w:val="00864DE7"/>
    <w:rsid w:val="00866DF3"/>
    <w:rsid w:val="00867C9A"/>
    <w:rsid w:val="008739AC"/>
    <w:rsid w:val="00880704"/>
    <w:rsid w:val="00884241"/>
    <w:rsid w:val="008908FE"/>
    <w:rsid w:val="008A1362"/>
    <w:rsid w:val="008B0539"/>
    <w:rsid w:val="008B07E0"/>
    <w:rsid w:val="008B1065"/>
    <w:rsid w:val="008B422E"/>
    <w:rsid w:val="008B4388"/>
    <w:rsid w:val="008C5B35"/>
    <w:rsid w:val="008C5CDF"/>
    <w:rsid w:val="008D45EE"/>
    <w:rsid w:val="008D5453"/>
    <w:rsid w:val="008D77A1"/>
    <w:rsid w:val="008E05DE"/>
    <w:rsid w:val="008E705E"/>
    <w:rsid w:val="008E7FDF"/>
    <w:rsid w:val="008F0B24"/>
    <w:rsid w:val="008F0C1F"/>
    <w:rsid w:val="00902C8E"/>
    <w:rsid w:val="009040F0"/>
    <w:rsid w:val="009104A8"/>
    <w:rsid w:val="00911EA9"/>
    <w:rsid w:val="00912C94"/>
    <w:rsid w:val="00915375"/>
    <w:rsid w:val="00922996"/>
    <w:rsid w:val="0092453F"/>
    <w:rsid w:val="009249EB"/>
    <w:rsid w:val="009250A1"/>
    <w:rsid w:val="009258DC"/>
    <w:rsid w:val="0093069F"/>
    <w:rsid w:val="00930E88"/>
    <w:rsid w:val="0093167A"/>
    <w:rsid w:val="00940C82"/>
    <w:rsid w:val="00943F00"/>
    <w:rsid w:val="00944A16"/>
    <w:rsid w:val="00951136"/>
    <w:rsid w:val="0095614A"/>
    <w:rsid w:val="00957B1E"/>
    <w:rsid w:val="00960546"/>
    <w:rsid w:val="009623D0"/>
    <w:rsid w:val="00964A44"/>
    <w:rsid w:val="0097478F"/>
    <w:rsid w:val="00975307"/>
    <w:rsid w:val="009757C6"/>
    <w:rsid w:val="009811AE"/>
    <w:rsid w:val="00990443"/>
    <w:rsid w:val="0099394F"/>
    <w:rsid w:val="0099412A"/>
    <w:rsid w:val="00995CB1"/>
    <w:rsid w:val="009A0B81"/>
    <w:rsid w:val="009A20A0"/>
    <w:rsid w:val="009B0030"/>
    <w:rsid w:val="009B550E"/>
    <w:rsid w:val="009B74A1"/>
    <w:rsid w:val="009C0382"/>
    <w:rsid w:val="009C1196"/>
    <w:rsid w:val="009C5A1F"/>
    <w:rsid w:val="009D5DE6"/>
    <w:rsid w:val="009E2BBD"/>
    <w:rsid w:val="009E2D06"/>
    <w:rsid w:val="009E32CB"/>
    <w:rsid w:val="009E3A95"/>
    <w:rsid w:val="009F0C9A"/>
    <w:rsid w:val="009F5754"/>
    <w:rsid w:val="009F6074"/>
    <w:rsid w:val="009F7E32"/>
    <w:rsid w:val="00A04263"/>
    <w:rsid w:val="00A0507A"/>
    <w:rsid w:val="00A13A56"/>
    <w:rsid w:val="00A20FA4"/>
    <w:rsid w:val="00A22BBF"/>
    <w:rsid w:val="00A27740"/>
    <w:rsid w:val="00A305BF"/>
    <w:rsid w:val="00A354F3"/>
    <w:rsid w:val="00A36EA4"/>
    <w:rsid w:val="00A44E62"/>
    <w:rsid w:val="00A55581"/>
    <w:rsid w:val="00A6727C"/>
    <w:rsid w:val="00A71538"/>
    <w:rsid w:val="00A733E0"/>
    <w:rsid w:val="00A74342"/>
    <w:rsid w:val="00A8011F"/>
    <w:rsid w:val="00A80471"/>
    <w:rsid w:val="00A81EA7"/>
    <w:rsid w:val="00A83275"/>
    <w:rsid w:val="00A8784D"/>
    <w:rsid w:val="00A932C9"/>
    <w:rsid w:val="00AA201F"/>
    <w:rsid w:val="00AA212A"/>
    <w:rsid w:val="00AA4400"/>
    <w:rsid w:val="00AA7E30"/>
    <w:rsid w:val="00AB3AD4"/>
    <w:rsid w:val="00AB5418"/>
    <w:rsid w:val="00AC641B"/>
    <w:rsid w:val="00AD29E1"/>
    <w:rsid w:val="00AD65BF"/>
    <w:rsid w:val="00AD66B2"/>
    <w:rsid w:val="00AD78C1"/>
    <w:rsid w:val="00AE6AB3"/>
    <w:rsid w:val="00AE70F5"/>
    <w:rsid w:val="00AE73FA"/>
    <w:rsid w:val="00AF3706"/>
    <w:rsid w:val="00AF4C60"/>
    <w:rsid w:val="00AF56F0"/>
    <w:rsid w:val="00AF75DC"/>
    <w:rsid w:val="00B0587A"/>
    <w:rsid w:val="00B07C64"/>
    <w:rsid w:val="00B13CCA"/>
    <w:rsid w:val="00B16262"/>
    <w:rsid w:val="00B223BB"/>
    <w:rsid w:val="00B22955"/>
    <w:rsid w:val="00B23556"/>
    <w:rsid w:val="00B25D1A"/>
    <w:rsid w:val="00B26C1D"/>
    <w:rsid w:val="00B31DB2"/>
    <w:rsid w:val="00B33FB1"/>
    <w:rsid w:val="00B42780"/>
    <w:rsid w:val="00B4793B"/>
    <w:rsid w:val="00B526A7"/>
    <w:rsid w:val="00B57EEF"/>
    <w:rsid w:val="00B63940"/>
    <w:rsid w:val="00B71C95"/>
    <w:rsid w:val="00B725EB"/>
    <w:rsid w:val="00B72AC1"/>
    <w:rsid w:val="00B73DF0"/>
    <w:rsid w:val="00B765B3"/>
    <w:rsid w:val="00B84320"/>
    <w:rsid w:val="00B876F3"/>
    <w:rsid w:val="00B90432"/>
    <w:rsid w:val="00B91FB2"/>
    <w:rsid w:val="00BA5038"/>
    <w:rsid w:val="00BB1568"/>
    <w:rsid w:val="00BB240B"/>
    <w:rsid w:val="00BB34B1"/>
    <w:rsid w:val="00BB5115"/>
    <w:rsid w:val="00BC0C67"/>
    <w:rsid w:val="00BC2B96"/>
    <w:rsid w:val="00BC444C"/>
    <w:rsid w:val="00BC49E0"/>
    <w:rsid w:val="00BC755F"/>
    <w:rsid w:val="00BC7BA7"/>
    <w:rsid w:val="00BD16CA"/>
    <w:rsid w:val="00BD193A"/>
    <w:rsid w:val="00BD305D"/>
    <w:rsid w:val="00BD3411"/>
    <w:rsid w:val="00BE56D7"/>
    <w:rsid w:val="00BF036D"/>
    <w:rsid w:val="00BF114A"/>
    <w:rsid w:val="00BF162A"/>
    <w:rsid w:val="00BF1BC1"/>
    <w:rsid w:val="00BF53CF"/>
    <w:rsid w:val="00BF54E2"/>
    <w:rsid w:val="00BF556C"/>
    <w:rsid w:val="00BF7A34"/>
    <w:rsid w:val="00C027E2"/>
    <w:rsid w:val="00C04652"/>
    <w:rsid w:val="00C12709"/>
    <w:rsid w:val="00C22A3D"/>
    <w:rsid w:val="00C24E8E"/>
    <w:rsid w:val="00C25D5D"/>
    <w:rsid w:val="00C358C4"/>
    <w:rsid w:val="00C360ED"/>
    <w:rsid w:val="00C43B92"/>
    <w:rsid w:val="00C51630"/>
    <w:rsid w:val="00C6260D"/>
    <w:rsid w:val="00C652A8"/>
    <w:rsid w:val="00C70191"/>
    <w:rsid w:val="00C726FA"/>
    <w:rsid w:val="00C73824"/>
    <w:rsid w:val="00C80D1A"/>
    <w:rsid w:val="00C96D37"/>
    <w:rsid w:val="00CA5155"/>
    <w:rsid w:val="00CA5689"/>
    <w:rsid w:val="00CB1591"/>
    <w:rsid w:val="00CB282B"/>
    <w:rsid w:val="00CB6503"/>
    <w:rsid w:val="00CC3101"/>
    <w:rsid w:val="00CC3C77"/>
    <w:rsid w:val="00CC523A"/>
    <w:rsid w:val="00CC7C1D"/>
    <w:rsid w:val="00CD1147"/>
    <w:rsid w:val="00CD324C"/>
    <w:rsid w:val="00CD3A3D"/>
    <w:rsid w:val="00CD5E0A"/>
    <w:rsid w:val="00CE4597"/>
    <w:rsid w:val="00CE5D6B"/>
    <w:rsid w:val="00CE662F"/>
    <w:rsid w:val="00CF1125"/>
    <w:rsid w:val="00CF2AB7"/>
    <w:rsid w:val="00D00876"/>
    <w:rsid w:val="00D045BE"/>
    <w:rsid w:val="00D100D4"/>
    <w:rsid w:val="00D105A2"/>
    <w:rsid w:val="00D15BD0"/>
    <w:rsid w:val="00D16BB9"/>
    <w:rsid w:val="00D2320C"/>
    <w:rsid w:val="00D256B3"/>
    <w:rsid w:val="00D306B4"/>
    <w:rsid w:val="00D42039"/>
    <w:rsid w:val="00D474D9"/>
    <w:rsid w:val="00D505EB"/>
    <w:rsid w:val="00D52BB8"/>
    <w:rsid w:val="00D60F1B"/>
    <w:rsid w:val="00D7245C"/>
    <w:rsid w:val="00D75049"/>
    <w:rsid w:val="00D80DE1"/>
    <w:rsid w:val="00D855A7"/>
    <w:rsid w:val="00D868C2"/>
    <w:rsid w:val="00D87113"/>
    <w:rsid w:val="00D87862"/>
    <w:rsid w:val="00D87FEF"/>
    <w:rsid w:val="00D91D16"/>
    <w:rsid w:val="00DA78BB"/>
    <w:rsid w:val="00DB77C1"/>
    <w:rsid w:val="00DC2B7A"/>
    <w:rsid w:val="00DD1424"/>
    <w:rsid w:val="00DD206C"/>
    <w:rsid w:val="00DD30E8"/>
    <w:rsid w:val="00DD6B16"/>
    <w:rsid w:val="00DE11DE"/>
    <w:rsid w:val="00DE44BB"/>
    <w:rsid w:val="00DE471F"/>
    <w:rsid w:val="00DF0758"/>
    <w:rsid w:val="00DF2A21"/>
    <w:rsid w:val="00DF6338"/>
    <w:rsid w:val="00DF6B20"/>
    <w:rsid w:val="00E049E5"/>
    <w:rsid w:val="00E171BD"/>
    <w:rsid w:val="00E2183F"/>
    <w:rsid w:val="00E342B6"/>
    <w:rsid w:val="00E342FD"/>
    <w:rsid w:val="00E343E7"/>
    <w:rsid w:val="00E410BB"/>
    <w:rsid w:val="00E413EE"/>
    <w:rsid w:val="00E41ED5"/>
    <w:rsid w:val="00E43F42"/>
    <w:rsid w:val="00E51D30"/>
    <w:rsid w:val="00E6224D"/>
    <w:rsid w:val="00E64890"/>
    <w:rsid w:val="00E6527D"/>
    <w:rsid w:val="00E660D7"/>
    <w:rsid w:val="00E675E6"/>
    <w:rsid w:val="00E70E8E"/>
    <w:rsid w:val="00E85482"/>
    <w:rsid w:val="00EB00DA"/>
    <w:rsid w:val="00EB4A8E"/>
    <w:rsid w:val="00EB6BA7"/>
    <w:rsid w:val="00EC10A3"/>
    <w:rsid w:val="00EC7E01"/>
    <w:rsid w:val="00ED0E66"/>
    <w:rsid w:val="00ED10CB"/>
    <w:rsid w:val="00ED2C22"/>
    <w:rsid w:val="00ED31CB"/>
    <w:rsid w:val="00ED4855"/>
    <w:rsid w:val="00ED4E47"/>
    <w:rsid w:val="00ED5946"/>
    <w:rsid w:val="00ED5B44"/>
    <w:rsid w:val="00ED6178"/>
    <w:rsid w:val="00EE1409"/>
    <w:rsid w:val="00EE7E81"/>
    <w:rsid w:val="00EF087B"/>
    <w:rsid w:val="00EF21C6"/>
    <w:rsid w:val="00EF3E5E"/>
    <w:rsid w:val="00EF662D"/>
    <w:rsid w:val="00EF6C35"/>
    <w:rsid w:val="00F00C11"/>
    <w:rsid w:val="00F013E1"/>
    <w:rsid w:val="00F03737"/>
    <w:rsid w:val="00F05E7D"/>
    <w:rsid w:val="00F11C19"/>
    <w:rsid w:val="00F1309F"/>
    <w:rsid w:val="00F16031"/>
    <w:rsid w:val="00F264B2"/>
    <w:rsid w:val="00F271AC"/>
    <w:rsid w:val="00F27875"/>
    <w:rsid w:val="00F37393"/>
    <w:rsid w:val="00F474BB"/>
    <w:rsid w:val="00F47DEE"/>
    <w:rsid w:val="00F60CA6"/>
    <w:rsid w:val="00F6121A"/>
    <w:rsid w:val="00F670F9"/>
    <w:rsid w:val="00F727C4"/>
    <w:rsid w:val="00F868A1"/>
    <w:rsid w:val="00F930B8"/>
    <w:rsid w:val="00F93688"/>
    <w:rsid w:val="00F93BEB"/>
    <w:rsid w:val="00FA3168"/>
    <w:rsid w:val="00FB6ED5"/>
    <w:rsid w:val="00FC3955"/>
    <w:rsid w:val="00FC4358"/>
    <w:rsid w:val="00FD3F69"/>
    <w:rsid w:val="00FD7784"/>
    <w:rsid w:val="00FE2B51"/>
    <w:rsid w:val="00FE3B1F"/>
    <w:rsid w:val="00FE405B"/>
    <w:rsid w:val="00FE56F0"/>
    <w:rsid w:val="00FF02C3"/>
    <w:rsid w:val="00FF09CD"/>
    <w:rsid w:val="00FF51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1C8B"/>
  <w15:chartTrackingRefBased/>
  <w15:docId w15:val="{6156F50A-8436-4004-A32B-2739A844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styleId="Grilledutableau">
    <w:name w:val="Table Grid"/>
    <w:basedOn w:val="TableNormal1"/>
    <w:uiPriority w:val="39"/>
    <w:rsid w:val="005B37DB"/>
    <w:pPr>
      <w:spacing w:after="0" w:line="240" w:lineRule="auto"/>
    </w:pPr>
    <w:tblPr>
      <w:tblInd w:w="0" w:type="nil"/>
      <w:tblCellMar>
        <w:left w:w="0" w:type="dxa"/>
        <w:right w:w="0" w:type="dxa"/>
      </w:tblCellMar>
    </w:tblPr>
  </w:style>
  <w:style w:type="paragraph" w:styleId="Paragraphedeliste">
    <w:name w:val="List Paragraph"/>
    <w:basedOn w:val="Normal"/>
    <w:uiPriority w:val="34"/>
    <w:qFormat/>
    <w:rsid w:val="00C358C4"/>
    <w:pPr>
      <w:ind w:left="720"/>
      <w:contextualSpacing/>
    </w:pPr>
  </w:style>
  <w:style w:type="character" w:styleId="Lienhypertextesuivivisit">
    <w:name w:val="FollowedHyperlink"/>
    <w:basedOn w:val="Policepardfaut"/>
    <w:uiPriority w:val="99"/>
    <w:semiHidden/>
    <w:unhideWhenUsed/>
    <w:rsid w:val="00B57EEF"/>
    <w:rPr>
      <w:color w:val="954F72" w:themeColor="followedHyperlink"/>
      <w:u w:val="single"/>
    </w:rPr>
  </w:style>
  <w:style w:type="character" w:styleId="Lienhypertexte">
    <w:name w:val="Hyperlink"/>
    <w:basedOn w:val="Policepardfaut"/>
    <w:uiPriority w:val="99"/>
    <w:unhideWhenUsed/>
    <w:rsid w:val="00EB6BA7"/>
    <w:rPr>
      <w:color w:val="0563C1" w:themeColor="hyperlink"/>
      <w:u w:val="single"/>
    </w:rPr>
  </w:style>
  <w:style w:type="character" w:styleId="Mentionnonrsolue">
    <w:name w:val="Unresolved Mention"/>
    <w:basedOn w:val="Policepardfaut"/>
    <w:uiPriority w:val="99"/>
    <w:semiHidden/>
    <w:unhideWhenUsed/>
    <w:rsid w:val="00EB6BA7"/>
    <w:rPr>
      <w:color w:val="605E5C"/>
      <w:shd w:val="clear" w:color="auto" w:fill="E1DFDD"/>
    </w:rPr>
  </w:style>
  <w:style w:type="paragraph" w:customStyle="1" w:styleId="Pa11">
    <w:name w:val="Pa11"/>
    <w:basedOn w:val="Normal"/>
    <w:next w:val="Normal"/>
    <w:uiPriority w:val="99"/>
    <w:rsid w:val="00126298"/>
    <w:pPr>
      <w:autoSpaceDE w:val="0"/>
      <w:autoSpaceDN w:val="0"/>
      <w:adjustRightInd w:val="0"/>
      <w:spacing w:after="0" w:line="181" w:lineRule="atLeast"/>
    </w:pPr>
    <w:rPr>
      <w:rFonts w:ascii="Avenir" w:hAnsi="Avenir"/>
      <w:kern w:val="0"/>
      <w:sz w:val="24"/>
      <w:szCs w:val="24"/>
    </w:rPr>
  </w:style>
  <w:style w:type="paragraph" w:customStyle="1" w:styleId="Default">
    <w:name w:val="Default"/>
    <w:rsid w:val="000127D8"/>
    <w:pPr>
      <w:autoSpaceDE w:val="0"/>
      <w:autoSpaceDN w:val="0"/>
      <w:adjustRightInd w:val="0"/>
      <w:spacing w:after="0" w:line="240" w:lineRule="auto"/>
    </w:pPr>
    <w:rPr>
      <w:rFonts w:ascii="Abril Text" w:hAnsi="Abril Text" w:cs="Abril Text"/>
      <w:color w:val="000000"/>
      <w:kern w:val="0"/>
      <w:sz w:val="24"/>
      <w:szCs w:val="24"/>
    </w:rPr>
  </w:style>
  <w:style w:type="character" w:customStyle="1" w:styleId="A13">
    <w:name w:val="A13"/>
    <w:uiPriority w:val="99"/>
    <w:rsid w:val="000127D8"/>
    <w:rPr>
      <w:rFonts w:cs="Abril Text"/>
      <w:color w:val="000000"/>
      <w:sz w:val="22"/>
      <w:szCs w:val="22"/>
    </w:rPr>
  </w:style>
  <w:style w:type="character" w:customStyle="1" w:styleId="A14">
    <w:name w:val="A14"/>
    <w:uiPriority w:val="99"/>
    <w:rsid w:val="000127D8"/>
    <w:rPr>
      <w:rFonts w:cs="Avenir"/>
      <w:color w:val="000000"/>
      <w:sz w:val="17"/>
      <w:szCs w:val="17"/>
    </w:rPr>
  </w:style>
  <w:style w:type="character" w:styleId="Accentuation">
    <w:name w:val="Emphasis"/>
    <w:basedOn w:val="Policepardfaut"/>
    <w:uiPriority w:val="20"/>
    <w:qFormat/>
    <w:rsid w:val="000A29F7"/>
    <w:rPr>
      <w:i/>
      <w:iCs/>
    </w:rPr>
  </w:style>
  <w:style w:type="paragraph" w:styleId="Rvision">
    <w:name w:val="Revision"/>
    <w:hidden/>
    <w:uiPriority w:val="99"/>
    <w:semiHidden/>
    <w:rsid w:val="00596B85"/>
    <w:pPr>
      <w:spacing w:after="0" w:line="240" w:lineRule="auto"/>
    </w:pPr>
  </w:style>
  <w:style w:type="character" w:customStyle="1" w:styleId="CommentaireCar">
    <w:name w:val="Commentaire Car"/>
    <w:basedOn w:val="Policepardfaut"/>
    <w:uiPriority w:val="99"/>
    <w:rsid w:val="009249EB"/>
    <w:rPr>
      <w:sz w:val="20"/>
      <w:szCs w:val="20"/>
    </w:rPr>
  </w:style>
  <w:style w:type="character" w:customStyle="1" w:styleId="ObjetducommentaireCar">
    <w:name w:val="Objet du commentaire Car"/>
    <w:basedOn w:val="CommentaireCar"/>
    <w:uiPriority w:val="99"/>
    <w:semiHidden/>
    <w:rsid w:val="009249EB"/>
    <w:rPr>
      <w:b/>
      <w:bCs/>
      <w:sz w:val="20"/>
      <w:szCs w:val="20"/>
    </w:rPr>
  </w:style>
  <w:style w:type="character" w:styleId="Marquedecommentaire">
    <w:name w:val="annotation reference"/>
    <w:basedOn w:val="Policepardfaut"/>
    <w:uiPriority w:val="99"/>
    <w:semiHidden/>
    <w:unhideWhenUsed/>
    <w:rsid w:val="00386723"/>
    <w:rPr>
      <w:sz w:val="16"/>
      <w:szCs w:val="16"/>
    </w:rPr>
  </w:style>
  <w:style w:type="paragraph" w:styleId="Commentaire">
    <w:name w:val="annotation text"/>
    <w:basedOn w:val="Normal"/>
    <w:link w:val="CommentaireCar1"/>
    <w:uiPriority w:val="99"/>
    <w:unhideWhenUsed/>
    <w:rsid w:val="00386723"/>
    <w:pPr>
      <w:spacing w:line="240" w:lineRule="auto"/>
    </w:pPr>
    <w:rPr>
      <w:sz w:val="20"/>
      <w:szCs w:val="20"/>
    </w:rPr>
  </w:style>
  <w:style w:type="character" w:customStyle="1" w:styleId="CommentaireCar1">
    <w:name w:val="Commentaire Car1"/>
    <w:basedOn w:val="Policepardfaut"/>
    <w:link w:val="Commentaire"/>
    <w:uiPriority w:val="99"/>
    <w:rsid w:val="00386723"/>
    <w:rPr>
      <w:sz w:val="20"/>
      <w:szCs w:val="20"/>
    </w:rPr>
  </w:style>
  <w:style w:type="paragraph" w:styleId="Objetducommentaire">
    <w:name w:val="annotation subject"/>
    <w:basedOn w:val="Commentaire"/>
    <w:next w:val="Commentaire"/>
    <w:link w:val="ObjetducommentaireCar1"/>
    <w:uiPriority w:val="99"/>
    <w:semiHidden/>
    <w:unhideWhenUsed/>
    <w:rsid w:val="00386723"/>
    <w:rPr>
      <w:b/>
      <w:bCs/>
    </w:rPr>
  </w:style>
  <w:style w:type="character" w:customStyle="1" w:styleId="ObjetducommentaireCar1">
    <w:name w:val="Objet du commentaire Car1"/>
    <w:basedOn w:val="CommentaireCar1"/>
    <w:link w:val="Objetducommentaire"/>
    <w:uiPriority w:val="99"/>
    <w:semiHidden/>
    <w:rsid w:val="00386723"/>
    <w:rPr>
      <w:b/>
      <w:bCs/>
      <w:sz w:val="20"/>
      <w:szCs w:val="20"/>
    </w:rPr>
  </w:style>
  <w:style w:type="paragraph" w:styleId="NormalWeb">
    <w:name w:val="Normal (Web)"/>
    <w:basedOn w:val="Normal"/>
    <w:uiPriority w:val="99"/>
    <w:semiHidden/>
    <w:unhideWhenUsed/>
    <w:rsid w:val="00273108"/>
    <w:pPr>
      <w:spacing w:before="100" w:beforeAutospacing="1" w:after="100" w:afterAutospacing="1" w:line="240" w:lineRule="auto"/>
    </w:pPr>
    <w:rPr>
      <w:rFonts w:ascii="Aptos" w:hAnsi="Aptos" w:cs="Aptos"/>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7965">
      <w:bodyDiv w:val="1"/>
      <w:marLeft w:val="0"/>
      <w:marRight w:val="0"/>
      <w:marTop w:val="0"/>
      <w:marBottom w:val="0"/>
      <w:divBdr>
        <w:top w:val="none" w:sz="0" w:space="0" w:color="auto"/>
        <w:left w:val="none" w:sz="0" w:space="0" w:color="auto"/>
        <w:bottom w:val="none" w:sz="0" w:space="0" w:color="auto"/>
        <w:right w:val="none" w:sz="0" w:space="0" w:color="auto"/>
      </w:divBdr>
    </w:div>
    <w:div w:id="30040546">
      <w:bodyDiv w:val="1"/>
      <w:marLeft w:val="0"/>
      <w:marRight w:val="0"/>
      <w:marTop w:val="0"/>
      <w:marBottom w:val="0"/>
      <w:divBdr>
        <w:top w:val="none" w:sz="0" w:space="0" w:color="auto"/>
        <w:left w:val="none" w:sz="0" w:space="0" w:color="auto"/>
        <w:bottom w:val="none" w:sz="0" w:space="0" w:color="auto"/>
        <w:right w:val="none" w:sz="0" w:space="0" w:color="auto"/>
      </w:divBdr>
    </w:div>
    <w:div w:id="210383093">
      <w:bodyDiv w:val="1"/>
      <w:marLeft w:val="0"/>
      <w:marRight w:val="0"/>
      <w:marTop w:val="0"/>
      <w:marBottom w:val="0"/>
      <w:divBdr>
        <w:top w:val="none" w:sz="0" w:space="0" w:color="auto"/>
        <w:left w:val="none" w:sz="0" w:space="0" w:color="auto"/>
        <w:bottom w:val="none" w:sz="0" w:space="0" w:color="auto"/>
        <w:right w:val="none" w:sz="0" w:space="0" w:color="auto"/>
      </w:divBdr>
    </w:div>
    <w:div w:id="237324093">
      <w:bodyDiv w:val="1"/>
      <w:marLeft w:val="0"/>
      <w:marRight w:val="0"/>
      <w:marTop w:val="0"/>
      <w:marBottom w:val="0"/>
      <w:divBdr>
        <w:top w:val="none" w:sz="0" w:space="0" w:color="auto"/>
        <w:left w:val="none" w:sz="0" w:space="0" w:color="auto"/>
        <w:bottom w:val="none" w:sz="0" w:space="0" w:color="auto"/>
        <w:right w:val="none" w:sz="0" w:space="0" w:color="auto"/>
      </w:divBdr>
    </w:div>
    <w:div w:id="409237794">
      <w:bodyDiv w:val="1"/>
      <w:marLeft w:val="0"/>
      <w:marRight w:val="0"/>
      <w:marTop w:val="0"/>
      <w:marBottom w:val="0"/>
      <w:divBdr>
        <w:top w:val="none" w:sz="0" w:space="0" w:color="auto"/>
        <w:left w:val="none" w:sz="0" w:space="0" w:color="auto"/>
        <w:bottom w:val="none" w:sz="0" w:space="0" w:color="auto"/>
        <w:right w:val="none" w:sz="0" w:space="0" w:color="auto"/>
      </w:divBdr>
    </w:div>
    <w:div w:id="412554422">
      <w:bodyDiv w:val="1"/>
      <w:marLeft w:val="0"/>
      <w:marRight w:val="0"/>
      <w:marTop w:val="0"/>
      <w:marBottom w:val="0"/>
      <w:divBdr>
        <w:top w:val="none" w:sz="0" w:space="0" w:color="auto"/>
        <w:left w:val="none" w:sz="0" w:space="0" w:color="auto"/>
        <w:bottom w:val="none" w:sz="0" w:space="0" w:color="auto"/>
        <w:right w:val="none" w:sz="0" w:space="0" w:color="auto"/>
      </w:divBdr>
    </w:div>
    <w:div w:id="623006003">
      <w:bodyDiv w:val="1"/>
      <w:marLeft w:val="0"/>
      <w:marRight w:val="0"/>
      <w:marTop w:val="0"/>
      <w:marBottom w:val="0"/>
      <w:divBdr>
        <w:top w:val="none" w:sz="0" w:space="0" w:color="auto"/>
        <w:left w:val="none" w:sz="0" w:space="0" w:color="auto"/>
        <w:bottom w:val="none" w:sz="0" w:space="0" w:color="auto"/>
        <w:right w:val="none" w:sz="0" w:space="0" w:color="auto"/>
      </w:divBdr>
    </w:div>
    <w:div w:id="774330751">
      <w:bodyDiv w:val="1"/>
      <w:marLeft w:val="0"/>
      <w:marRight w:val="0"/>
      <w:marTop w:val="0"/>
      <w:marBottom w:val="0"/>
      <w:divBdr>
        <w:top w:val="none" w:sz="0" w:space="0" w:color="auto"/>
        <w:left w:val="none" w:sz="0" w:space="0" w:color="auto"/>
        <w:bottom w:val="none" w:sz="0" w:space="0" w:color="auto"/>
        <w:right w:val="none" w:sz="0" w:space="0" w:color="auto"/>
      </w:divBdr>
    </w:div>
    <w:div w:id="796532182">
      <w:bodyDiv w:val="1"/>
      <w:marLeft w:val="0"/>
      <w:marRight w:val="0"/>
      <w:marTop w:val="0"/>
      <w:marBottom w:val="0"/>
      <w:divBdr>
        <w:top w:val="none" w:sz="0" w:space="0" w:color="auto"/>
        <w:left w:val="none" w:sz="0" w:space="0" w:color="auto"/>
        <w:bottom w:val="none" w:sz="0" w:space="0" w:color="auto"/>
        <w:right w:val="none" w:sz="0" w:space="0" w:color="auto"/>
      </w:divBdr>
    </w:div>
    <w:div w:id="870533861">
      <w:bodyDiv w:val="1"/>
      <w:marLeft w:val="0"/>
      <w:marRight w:val="0"/>
      <w:marTop w:val="0"/>
      <w:marBottom w:val="0"/>
      <w:divBdr>
        <w:top w:val="none" w:sz="0" w:space="0" w:color="auto"/>
        <w:left w:val="none" w:sz="0" w:space="0" w:color="auto"/>
        <w:bottom w:val="none" w:sz="0" w:space="0" w:color="auto"/>
        <w:right w:val="none" w:sz="0" w:space="0" w:color="auto"/>
      </w:divBdr>
    </w:div>
    <w:div w:id="915280670">
      <w:bodyDiv w:val="1"/>
      <w:marLeft w:val="0"/>
      <w:marRight w:val="0"/>
      <w:marTop w:val="0"/>
      <w:marBottom w:val="0"/>
      <w:divBdr>
        <w:top w:val="none" w:sz="0" w:space="0" w:color="auto"/>
        <w:left w:val="none" w:sz="0" w:space="0" w:color="auto"/>
        <w:bottom w:val="none" w:sz="0" w:space="0" w:color="auto"/>
        <w:right w:val="none" w:sz="0" w:space="0" w:color="auto"/>
      </w:divBdr>
    </w:div>
    <w:div w:id="961378747">
      <w:bodyDiv w:val="1"/>
      <w:marLeft w:val="0"/>
      <w:marRight w:val="0"/>
      <w:marTop w:val="0"/>
      <w:marBottom w:val="0"/>
      <w:divBdr>
        <w:top w:val="none" w:sz="0" w:space="0" w:color="auto"/>
        <w:left w:val="none" w:sz="0" w:space="0" w:color="auto"/>
        <w:bottom w:val="none" w:sz="0" w:space="0" w:color="auto"/>
        <w:right w:val="none" w:sz="0" w:space="0" w:color="auto"/>
      </w:divBdr>
    </w:div>
    <w:div w:id="1111510407">
      <w:bodyDiv w:val="1"/>
      <w:marLeft w:val="0"/>
      <w:marRight w:val="0"/>
      <w:marTop w:val="0"/>
      <w:marBottom w:val="0"/>
      <w:divBdr>
        <w:top w:val="none" w:sz="0" w:space="0" w:color="auto"/>
        <w:left w:val="none" w:sz="0" w:space="0" w:color="auto"/>
        <w:bottom w:val="none" w:sz="0" w:space="0" w:color="auto"/>
        <w:right w:val="none" w:sz="0" w:space="0" w:color="auto"/>
      </w:divBdr>
    </w:div>
    <w:div w:id="1509251119">
      <w:bodyDiv w:val="1"/>
      <w:marLeft w:val="0"/>
      <w:marRight w:val="0"/>
      <w:marTop w:val="0"/>
      <w:marBottom w:val="0"/>
      <w:divBdr>
        <w:top w:val="none" w:sz="0" w:space="0" w:color="auto"/>
        <w:left w:val="none" w:sz="0" w:space="0" w:color="auto"/>
        <w:bottom w:val="none" w:sz="0" w:space="0" w:color="auto"/>
        <w:right w:val="none" w:sz="0" w:space="0" w:color="auto"/>
      </w:divBdr>
    </w:div>
    <w:div w:id="1883904514">
      <w:bodyDiv w:val="1"/>
      <w:marLeft w:val="0"/>
      <w:marRight w:val="0"/>
      <w:marTop w:val="0"/>
      <w:marBottom w:val="0"/>
      <w:divBdr>
        <w:top w:val="none" w:sz="0" w:space="0" w:color="auto"/>
        <w:left w:val="none" w:sz="0" w:space="0" w:color="auto"/>
        <w:bottom w:val="none" w:sz="0" w:space="0" w:color="auto"/>
        <w:right w:val="none" w:sz="0" w:space="0" w:color="auto"/>
      </w:divBdr>
      <w:divsChild>
        <w:div w:id="366176824">
          <w:marLeft w:val="0"/>
          <w:marRight w:val="0"/>
          <w:marTop w:val="0"/>
          <w:marBottom w:val="0"/>
          <w:divBdr>
            <w:top w:val="single" w:sz="2" w:space="0" w:color="D9D9E3"/>
            <w:left w:val="single" w:sz="2" w:space="0" w:color="D9D9E3"/>
            <w:bottom w:val="single" w:sz="2" w:space="0" w:color="D9D9E3"/>
            <w:right w:val="single" w:sz="2" w:space="0" w:color="D9D9E3"/>
          </w:divBdr>
          <w:divsChild>
            <w:div w:id="1328441519">
              <w:marLeft w:val="0"/>
              <w:marRight w:val="0"/>
              <w:marTop w:val="0"/>
              <w:marBottom w:val="0"/>
              <w:divBdr>
                <w:top w:val="single" w:sz="2" w:space="0" w:color="D9D9E3"/>
                <w:left w:val="single" w:sz="2" w:space="0" w:color="D9D9E3"/>
                <w:bottom w:val="single" w:sz="2" w:space="0" w:color="D9D9E3"/>
                <w:right w:val="single" w:sz="2" w:space="0" w:color="D9D9E3"/>
              </w:divBdr>
              <w:divsChild>
                <w:div w:id="339626271">
                  <w:marLeft w:val="0"/>
                  <w:marRight w:val="0"/>
                  <w:marTop w:val="0"/>
                  <w:marBottom w:val="0"/>
                  <w:divBdr>
                    <w:top w:val="single" w:sz="2" w:space="0" w:color="D9D9E3"/>
                    <w:left w:val="single" w:sz="2" w:space="0" w:color="D9D9E3"/>
                    <w:bottom w:val="single" w:sz="2" w:space="0" w:color="D9D9E3"/>
                    <w:right w:val="single" w:sz="2" w:space="0" w:color="D9D9E3"/>
                  </w:divBdr>
                  <w:divsChild>
                    <w:div w:id="46950491">
                      <w:marLeft w:val="0"/>
                      <w:marRight w:val="0"/>
                      <w:marTop w:val="0"/>
                      <w:marBottom w:val="0"/>
                      <w:divBdr>
                        <w:top w:val="single" w:sz="2" w:space="0" w:color="D9D9E3"/>
                        <w:left w:val="single" w:sz="2" w:space="0" w:color="D9D9E3"/>
                        <w:bottom w:val="single" w:sz="2" w:space="0" w:color="D9D9E3"/>
                        <w:right w:val="single" w:sz="2" w:space="0" w:color="D9D9E3"/>
                      </w:divBdr>
                      <w:divsChild>
                        <w:div w:id="127090979">
                          <w:marLeft w:val="0"/>
                          <w:marRight w:val="0"/>
                          <w:marTop w:val="0"/>
                          <w:marBottom w:val="0"/>
                          <w:divBdr>
                            <w:top w:val="single" w:sz="2" w:space="0" w:color="auto"/>
                            <w:left w:val="single" w:sz="2" w:space="0" w:color="auto"/>
                            <w:bottom w:val="single" w:sz="6" w:space="0" w:color="auto"/>
                            <w:right w:val="single" w:sz="2" w:space="0" w:color="auto"/>
                          </w:divBdr>
                          <w:divsChild>
                            <w:div w:id="692875769">
                              <w:marLeft w:val="0"/>
                              <w:marRight w:val="0"/>
                              <w:marTop w:val="100"/>
                              <w:marBottom w:val="100"/>
                              <w:divBdr>
                                <w:top w:val="single" w:sz="2" w:space="0" w:color="D9D9E3"/>
                                <w:left w:val="single" w:sz="2" w:space="0" w:color="D9D9E3"/>
                                <w:bottom w:val="single" w:sz="2" w:space="0" w:color="D9D9E3"/>
                                <w:right w:val="single" w:sz="2" w:space="0" w:color="D9D9E3"/>
                              </w:divBdr>
                              <w:divsChild>
                                <w:div w:id="565144197">
                                  <w:marLeft w:val="0"/>
                                  <w:marRight w:val="0"/>
                                  <w:marTop w:val="0"/>
                                  <w:marBottom w:val="0"/>
                                  <w:divBdr>
                                    <w:top w:val="single" w:sz="2" w:space="0" w:color="D9D9E3"/>
                                    <w:left w:val="single" w:sz="2" w:space="0" w:color="D9D9E3"/>
                                    <w:bottom w:val="single" w:sz="2" w:space="0" w:color="D9D9E3"/>
                                    <w:right w:val="single" w:sz="2" w:space="0" w:color="D9D9E3"/>
                                  </w:divBdr>
                                  <w:divsChild>
                                    <w:div w:id="1347172176">
                                      <w:marLeft w:val="0"/>
                                      <w:marRight w:val="0"/>
                                      <w:marTop w:val="0"/>
                                      <w:marBottom w:val="0"/>
                                      <w:divBdr>
                                        <w:top w:val="single" w:sz="2" w:space="0" w:color="D9D9E3"/>
                                        <w:left w:val="single" w:sz="2" w:space="0" w:color="D9D9E3"/>
                                        <w:bottom w:val="single" w:sz="2" w:space="0" w:color="D9D9E3"/>
                                        <w:right w:val="single" w:sz="2" w:space="0" w:color="D9D9E3"/>
                                      </w:divBdr>
                                      <w:divsChild>
                                        <w:div w:id="2031032350">
                                          <w:marLeft w:val="0"/>
                                          <w:marRight w:val="0"/>
                                          <w:marTop w:val="0"/>
                                          <w:marBottom w:val="0"/>
                                          <w:divBdr>
                                            <w:top w:val="single" w:sz="2" w:space="0" w:color="D9D9E3"/>
                                            <w:left w:val="single" w:sz="2" w:space="0" w:color="D9D9E3"/>
                                            <w:bottom w:val="single" w:sz="2" w:space="0" w:color="D9D9E3"/>
                                            <w:right w:val="single" w:sz="2" w:space="0" w:color="D9D9E3"/>
                                          </w:divBdr>
                                          <w:divsChild>
                                            <w:div w:id="491142095">
                                              <w:marLeft w:val="0"/>
                                              <w:marRight w:val="0"/>
                                              <w:marTop w:val="0"/>
                                              <w:marBottom w:val="0"/>
                                              <w:divBdr>
                                                <w:top w:val="single" w:sz="2" w:space="0" w:color="D9D9E3"/>
                                                <w:left w:val="single" w:sz="2" w:space="0" w:color="D9D9E3"/>
                                                <w:bottom w:val="single" w:sz="2" w:space="0" w:color="D9D9E3"/>
                                                <w:right w:val="single" w:sz="2" w:space="0" w:color="D9D9E3"/>
                                              </w:divBdr>
                                              <w:divsChild>
                                                <w:div w:id="1156535182">
                                                  <w:marLeft w:val="0"/>
                                                  <w:marRight w:val="0"/>
                                                  <w:marTop w:val="0"/>
                                                  <w:marBottom w:val="0"/>
                                                  <w:divBdr>
                                                    <w:top w:val="single" w:sz="2" w:space="0" w:color="D9D9E3"/>
                                                    <w:left w:val="single" w:sz="2" w:space="0" w:color="D9D9E3"/>
                                                    <w:bottom w:val="single" w:sz="2" w:space="0" w:color="D9D9E3"/>
                                                    <w:right w:val="single" w:sz="2" w:space="0" w:color="D9D9E3"/>
                                                  </w:divBdr>
                                                  <w:divsChild>
                                                    <w:div w:id="4990829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0925734">
                                              <w:marLeft w:val="0"/>
                                              <w:marRight w:val="0"/>
                                              <w:marTop w:val="0"/>
                                              <w:marBottom w:val="0"/>
                                              <w:divBdr>
                                                <w:top w:val="single" w:sz="2" w:space="0" w:color="D9D9E3"/>
                                                <w:left w:val="single" w:sz="2" w:space="0" w:color="D9D9E3"/>
                                                <w:bottom w:val="single" w:sz="2" w:space="0" w:color="D9D9E3"/>
                                                <w:right w:val="single" w:sz="2" w:space="0" w:color="D9D9E3"/>
                                              </w:divBdr>
                                              <w:divsChild>
                                                <w:div w:id="1630550621">
                                                  <w:marLeft w:val="0"/>
                                                  <w:marRight w:val="0"/>
                                                  <w:marTop w:val="0"/>
                                                  <w:marBottom w:val="0"/>
                                                  <w:divBdr>
                                                    <w:top w:val="single" w:sz="2" w:space="0" w:color="D9D9E3"/>
                                                    <w:left w:val="single" w:sz="2" w:space="0" w:color="D9D9E3"/>
                                                    <w:bottom w:val="single" w:sz="2" w:space="0" w:color="D9D9E3"/>
                                                    <w:right w:val="single" w:sz="2" w:space="0" w:color="D9D9E3"/>
                                                  </w:divBdr>
                                                  <w:divsChild>
                                                    <w:div w:id="159272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0553597">
          <w:marLeft w:val="0"/>
          <w:marRight w:val="0"/>
          <w:marTop w:val="0"/>
          <w:marBottom w:val="0"/>
          <w:divBdr>
            <w:top w:val="none" w:sz="0" w:space="0" w:color="auto"/>
            <w:left w:val="none" w:sz="0" w:space="0" w:color="auto"/>
            <w:bottom w:val="none" w:sz="0" w:space="0" w:color="auto"/>
            <w:right w:val="none" w:sz="0" w:space="0" w:color="auto"/>
          </w:divBdr>
        </w:div>
      </w:divsChild>
    </w:div>
    <w:div w:id="1978677987">
      <w:bodyDiv w:val="1"/>
      <w:marLeft w:val="0"/>
      <w:marRight w:val="0"/>
      <w:marTop w:val="0"/>
      <w:marBottom w:val="0"/>
      <w:divBdr>
        <w:top w:val="none" w:sz="0" w:space="0" w:color="auto"/>
        <w:left w:val="none" w:sz="0" w:space="0" w:color="auto"/>
        <w:bottom w:val="none" w:sz="0" w:space="0" w:color="auto"/>
        <w:right w:val="none" w:sz="0" w:space="0" w:color="auto"/>
      </w:divBdr>
    </w:div>
    <w:div w:id="20917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ur01.safelinks.protection.outlook.com/?url=http%3A%2F%2Fey.com%2F&amp;data=05%7C02%7CNicolas.Bouchez%40fr.ey.com%7Ccd7864d488c84389d52108ddad7af6af%7C5b973f9977df4bebb27daa0c70b8482c%7C0%7C0%7C638857465813808993%7CUnknown%7CTWFpbGZsb3d8eyJFbXB0eU1hcGkiOnRydWUsIlYiOiIwLjAuMDAwMCIsIlAiOiJXaW4zMiIsIkFOIjoiTWFpbCIsIldUIjoyfQ%3D%3D%7C0%7C%7C%7C&amp;sdata=otaecJHrZfHFfQLrauDxc6EqNCxBjvb08xVVxJ3TUoA%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ur01.safelinks.protection.outlook.com/?url=http%3A%2F%2Fey.com%2F&amp;data=05%7C02%7CNicolas.Bouchez%40fr.ey.com%7Ccd7864d488c84389d52108ddad7af6af%7C5b973f9977df4bebb27daa0c70b8482c%7C0%7C0%7C638857465813797946%7CUnknown%7CTWFpbGZsb3d8eyJFbXB0eU1hcGkiOnRydWUsIlYiOiIwLjAuMDAwMCIsIlAiOiJXaW4zMiIsIkFOIjoiTWFpbCIsIldUIjoyfQ%3D%3D%7C0%7C%7C%7C&amp;sdata=ooe6i7YFgdXsq6LfnNZ%2FNGuM84krTMGdegEa8vVIfhs%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icolas.bouchez@fr.ey.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ur01.safelinks.protection.outlook.com/?url=http%3A%2F%2Fey.com%2F&amp;data=05%7C02%7CNicolas.Bouchez%40fr.ey.com%7Ccd7864d488c84389d52108ddad7af6af%7C5b973f9977df4bebb27daa0c70b8482c%7C0%7C0%7C638857465813787024%7CUnknown%7CTWFpbGZsb3d8eyJFbXB0eU1hcGkiOnRydWUsIlYiOiIwLjAuMDAwMCIsIlAiOiJXaW4zMiIsIkFOIjoiTWFpbCIsIldUIjoyfQ%3D%3D%7C0%7C%7C%7C&amp;sdata=2qf5ravFtL%2B4hgrv6U9fnTBJsmFffv57M35QNUkReeo%3D&amp;reserved=0" TargetMode="External"/><Relationship Id="rId5" Type="http://schemas.openxmlformats.org/officeDocument/2006/relationships/webSettings" Target="webSettings.xml"/><Relationship Id="rId15" Type="http://schemas.openxmlformats.org/officeDocument/2006/relationships/hyperlink" Target="https://mailto/" TargetMode="External"/><Relationship Id="rId10" Type="http://schemas.openxmlformats.org/officeDocument/2006/relationships/hyperlink" Target="https://mibc-fr-02.mailinblack.com/securelink/?url=https://services.hosting.augure.com&amp;key=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" TargetMode="External"/><Relationship Id="rId4" Type="http://schemas.openxmlformats.org/officeDocument/2006/relationships/settings" Target="settings.xml"/><Relationship Id="rId9" Type="http://schemas.openxmlformats.org/officeDocument/2006/relationships/hyperlink" Target="https://form.apsis.one/HGao0hjUwYVLWj" TargetMode="External"/><Relationship Id="rId14" Type="http://schemas.openxmlformats.org/officeDocument/2006/relationships/hyperlink" Target="mailto:numeum@the-arcan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C078-1271-430A-A86C-BAAB3F50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2353</Words>
  <Characters>12944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15267</CharactersWithSpaces>
  <SharedDoc>false</SharedDoc>
  <HLinks>
    <vt:vector size="42" baseType="variant">
      <vt:variant>
        <vt:i4>4849788</vt:i4>
      </vt:variant>
      <vt:variant>
        <vt:i4>18</vt:i4>
      </vt:variant>
      <vt:variant>
        <vt:i4>0</vt:i4>
      </vt:variant>
      <vt:variant>
        <vt:i4>5</vt:i4>
      </vt:variant>
      <vt:variant>
        <vt:lpwstr>mailto:nicolas.bouchez@fr.ey.com</vt:lpwstr>
      </vt:variant>
      <vt:variant>
        <vt:lpwstr/>
      </vt:variant>
      <vt:variant>
        <vt:i4>7536688</vt:i4>
      </vt:variant>
      <vt:variant>
        <vt:i4>15</vt:i4>
      </vt:variant>
      <vt:variant>
        <vt:i4>0</vt:i4>
      </vt:variant>
      <vt:variant>
        <vt:i4>5</vt:i4>
      </vt:variant>
      <vt:variant>
        <vt:lpwstr>https://mailto/</vt:lpwstr>
      </vt:variant>
      <vt:variant>
        <vt:lpwstr/>
      </vt:variant>
      <vt:variant>
        <vt:i4>1310780</vt:i4>
      </vt:variant>
      <vt:variant>
        <vt:i4>12</vt:i4>
      </vt:variant>
      <vt:variant>
        <vt:i4>0</vt:i4>
      </vt:variant>
      <vt:variant>
        <vt:i4>5</vt:i4>
      </vt:variant>
      <vt:variant>
        <vt:lpwstr>mailto:emaes@hopscotch.fr</vt:lpwstr>
      </vt:variant>
      <vt:variant>
        <vt:lpwstr/>
      </vt:variant>
      <vt:variant>
        <vt:i4>2162688</vt:i4>
      </vt:variant>
      <vt:variant>
        <vt:i4>9</vt:i4>
      </vt:variant>
      <vt:variant>
        <vt:i4>0</vt:i4>
      </vt:variant>
      <vt:variant>
        <vt:i4>5</vt:i4>
      </vt:variant>
      <vt:variant>
        <vt:lpwstr>mailto:cfouquet@numeum.fr</vt:lpwstr>
      </vt:variant>
      <vt:variant>
        <vt:lpwstr/>
      </vt:variant>
      <vt:variant>
        <vt:i4>2097191</vt:i4>
      </vt:variant>
      <vt:variant>
        <vt:i4>6</vt:i4>
      </vt:variant>
      <vt:variant>
        <vt:i4>0</vt:i4>
      </vt:variant>
      <vt:variant>
        <vt:i4>5</vt:i4>
      </vt:variant>
      <vt:variant>
        <vt:lpwstr>http://www.ey.com/</vt:lpwstr>
      </vt:variant>
      <vt:variant>
        <vt:lpwstr/>
      </vt:variant>
      <vt:variant>
        <vt:i4>4063349</vt:i4>
      </vt:variant>
      <vt:variant>
        <vt:i4>3</vt:i4>
      </vt:variant>
      <vt:variant>
        <vt:i4>0</vt:i4>
      </vt:variant>
      <vt:variant>
        <vt:i4>5</vt:i4>
      </vt:variant>
      <vt:variant>
        <vt:lpwstr>https://mibc-fr-02.mailinblack.com/securelink/?url=https://services.hosting.augure.com&amp;key=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</vt:lpwstr>
      </vt:variant>
      <vt:variant>
        <vt:lpwstr/>
      </vt:variant>
      <vt:variant>
        <vt:i4>7733281</vt:i4>
      </vt:variant>
      <vt:variant>
        <vt:i4>0</vt:i4>
      </vt:variant>
      <vt:variant>
        <vt:i4>0</vt:i4>
      </vt:variant>
      <vt:variant>
        <vt:i4>5</vt:i4>
      </vt:variant>
      <vt:variant>
        <vt:lpwstr>https://numeum.fr/actu-informatique/panorama-top-250-des-editeurs-de-logiciels-francais-14eme-edition-les-editeurs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TULAK</dc:creator>
  <cp:keywords/>
  <dc:description/>
  <cp:lastModifiedBy>Olivier Robillart</cp:lastModifiedBy>
  <cp:revision>3</cp:revision>
  <dcterms:created xsi:type="dcterms:W3CDTF">2025-11-05T19:47:00Z</dcterms:created>
  <dcterms:modified xsi:type="dcterms:W3CDTF">2025-11-06T09:03:00Z</dcterms:modified>
</cp:coreProperties>
</file>